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rPr>
          <w:rFonts w:ascii="Times New Roman"/>
          <w:sz w:val="20"/>
        </w:rPr>
      </w:pPr>
    </w:p>
    <w:p>
      <w:pPr>
        <w:pStyle w:val="BodyText"/>
        <w:spacing w:before="8"/>
        <w:ind w:left="0"/>
        <w:rPr>
          <w:rFonts w:ascii="Times New Roman"/>
          <w:sz w:val="26"/>
        </w:rPr>
      </w:pPr>
    </w:p>
    <w:p>
      <w:pPr>
        <w:pStyle w:val="Heading2"/>
      </w:pPr>
      <w:r>
        <w:rPr/>
        <w:t>南水北调中线建管局</w:t>
      </w:r>
    </w:p>
    <w:p>
      <w:pPr>
        <w:spacing w:before="138"/>
        <w:ind w:left="1966" w:right="2123" w:firstLine="0"/>
        <w:jc w:val="center"/>
        <w:rPr>
          <w:rFonts w:ascii="黑体" w:eastAsia="黑体" w:hint="eastAsia"/>
          <w:sz w:val="36"/>
        </w:rPr>
      </w:pPr>
      <w:r>
        <w:rPr>
          <w:rFonts w:ascii="黑体" w:eastAsia="黑体" w:hint="eastAsia"/>
          <w:sz w:val="36"/>
        </w:rPr>
        <w:t>2021 年度公开招聘工作人员公告</w:t>
      </w:r>
    </w:p>
    <w:p>
      <w:pPr>
        <w:pStyle w:val="BodyText"/>
        <w:spacing w:before="0"/>
        <w:ind w:left="0"/>
        <w:rPr>
          <w:rFonts w:ascii="黑体"/>
          <w:sz w:val="36"/>
        </w:rPr>
      </w:pPr>
    </w:p>
    <w:p>
      <w:pPr>
        <w:pStyle w:val="BodyText"/>
        <w:spacing w:line="364" w:lineRule="auto" w:before="289"/>
        <w:ind w:right="261" w:firstLine="638"/>
      </w:pPr>
      <w:r>
        <w:rPr>
          <w:spacing w:val="-2"/>
        </w:rPr>
        <w:t>根据工作需要，</w:t>
      </w:r>
      <w:r>
        <w:rPr>
          <w:spacing w:val="-12"/>
        </w:rPr>
        <w:t>2021</w:t>
      </w:r>
      <w:r>
        <w:rPr>
          <w:spacing w:val="-10"/>
        </w:rPr>
        <w:t> 年南水北调中线建管局公开招聘工作人</w:t>
      </w:r>
      <w:r>
        <w:rPr>
          <w:spacing w:val="-46"/>
        </w:rPr>
        <w:t>员 </w:t>
      </w:r>
      <w:r>
        <w:rPr/>
        <w:t>9</w:t>
      </w:r>
      <w:r>
        <w:rPr>
          <w:spacing w:val="-10"/>
        </w:rPr>
        <w:t> 名。现将有关事项公告如下：</w:t>
      </w:r>
    </w:p>
    <w:p>
      <w:pPr>
        <w:pStyle w:val="BodyText"/>
        <w:spacing w:before="2"/>
        <w:ind w:left="742"/>
        <w:rPr>
          <w:rFonts w:ascii="黑体" w:eastAsia="黑体" w:hint="eastAsia"/>
        </w:rPr>
      </w:pPr>
      <w:r>
        <w:rPr>
          <w:rFonts w:ascii="黑体" w:eastAsia="黑体" w:hint="eastAsia"/>
        </w:rPr>
        <w:t>一、招聘对象</w:t>
      </w:r>
    </w:p>
    <w:p>
      <w:pPr>
        <w:pStyle w:val="BodyText"/>
        <w:ind w:left="742"/>
        <w:jc w:val="both"/>
      </w:pPr>
      <w:r>
        <w:rPr/>
        <w:t>全国普通高等院校全脱产学习统招统分 2021 年应届毕业生</w:t>
      </w:r>
    </w:p>
    <w:p>
      <w:pPr>
        <w:pStyle w:val="BodyText"/>
        <w:spacing w:line="364" w:lineRule="auto"/>
        <w:ind w:right="261"/>
        <w:jc w:val="both"/>
      </w:pPr>
      <w:r>
        <w:rPr/>
        <w:t>（含两年择业期内未就业的高校毕业生），凡在入学前签订了定向培养和委托培养协议的定向生、委培生，海外留学回国人员， 不属于本次招聘范围。京外生源必须符合人力资源和社会保障部办理进京落户政策规定的条件。</w:t>
      </w:r>
    </w:p>
    <w:p>
      <w:pPr>
        <w:pStyle w:val="BodyText"/>
        <w:spacing w:before="3"/>
        <w:ind w:left="742"/>
        <w:rPr>
          <w:rFonts w:ascii="黑体" w:eastAsia="黑体" w:hint="eastAsia"/>
        </w:rPr>
      </w:pPr>
      <w:r>
        <w:rPr>
          <w:rFonts w:ascii="黑体" w:eastAsia="黑体" w:hint="eastAsia"/>
        </w:rPr>
        <w:t>二、报考条件</w:t>
      </w:r>
    </w:p>
    <w:p>
      <w:pPr>
        <w:pStyle w:val="BodyText"/>
        <w:spacing w:before="3"/>
        <w:ind w:left="0"/>
        <w:rPr>
          <w:rFonts w:ascii="黑体"/>
          <w:sz w:val="23"/>
        </w:rPr>
      </w:pPr>
    </w:p>
    <w:p>
      <w:pPr>
        <w:pStyle w:val="ListParagraph"/>
        <w:numPr>
          <w:ilvl w:val="0"/>
          <w:numId w:val="1"/>
        </w:numPr>
        <w:tabs>
          <w:tab w:pos="1064" w:val="left" w:leader="none"/>
        </w:tabs>
        <w:spacing w:line="240" w:lineRule="auto" w:before="0" w:after="0"/>
        <w:ind w:left="1064" w:right="0" w:hanging="322"/>
        <w:jc w:val="left"/>
        <w:rPr>
          <w:sz w:val="32"/>
        </w:rPr>
      </w:pPr>
      <w:r>
        <w:rPr>
          <w:sz w:val="32"/>
        </w:rPr>
        <w:t>具有中华人民共和国国籍；</w:t>
      </w:r>
    </w:p>
    <w:p>
      <w:pPr>
        <w:pStyle w:val="ListParagraph"/>
        <w:numPr>
          <w:ilvl w:val="0"/>
          <w:numId w:val="1"/>
        </w:numPr>
        <w:tabs>
          <w:tab w:pos="1064" w:val="left" w:leader="none"/>
        </w:tabs>
        <w:spacing w:line="240" w:lineRule="auto" w:before="231" w:after="0"/>
        <w:ind w:left="1064" w:right="0" w:hanging="322"/>
        <w:jc w:val="left"/>
        <w:rPr>
          <w:sz w:val="32"/>
        </w:rPr>
      </w:pPr>
      <w:r>
        <w:rPr>
          <w:sz w:val="32"/>
        </w:rPr>
        <w:t>拥护并遵守中华人民共和国宪法和法律法规；</w:t>
      </w:r>
    </w:p>
    <w:p>
      <w:pPr>
        <w:pStyle w:val="ListParagraph"/>
        <w:numPr>
          <w:ilvl w:val="0"/>
          <w:numId w:val="1"/>
        </w:numPr>
        <w:tabs>
          <w:tab w:pos="1064" w:val="left" w:leader="none"/>
        </w:tabs>
        <w:spacing w:line="240" w:lineRule="auto" w:before="231" w:after="0"/>
        <w:ind w:left="1064" w:right="0" w:hanging="322"/>
        <w:jc w:val="left"/>
        <w:rPr>
          <w:sz w:val="32"/>
        </w:rPr>
      </w:pPr>
      <w:r>
        <w:rPr>
          <w:sz w:val="32"/>
        </w:rPr>
        <w:t>践行社会主义核心价值观，诚实守信，品行端正，遵规守</w:t>
      </w:r>
    </w:p>
    <w:p>
      <w:pPr>
        <w:pStyle w:val="BodyText"/>
        <w:spacing w:before="228"/>
      </w:pPr>
      <w:r>
        <w:rPr/>
        <w:t>纪；</w:t>
      </w:r>
    </w:p>
    <w:p>
      <w:pPr>
        <w:pStyle w:val="ListParagraph"/>
        <w:numPr>
          <w:ilvl w:val="0"/>
          <w:numId w:val="1"/>
        </w:numPr>
        <w:tabs>
          <w:tab w:pos="1064" w:val="left" w:leader="none"/>
        </w:tabs>
        <w:spacing w:line="374" w:lineRule="auto" w:before="231" w:after="0"/>
        <w:ind w:left="104" w:right="263" w:firstLine="638"/>
        <w:jc w:val="left"/>
        <w:rPr>
          <w:sz w:val="32"/>
        </w:rPr>
      </w:pPr>
      <w:r>
        <w:rPr>
          <w:sz w:val="32"/>
        </w:rPr>
        <w:t>符合岗位所需的学历学位、专业、政治面貌、生源地等条件，京内生源是指入学前具有北京市常住户口的人员；</w:t>
      </w:r>
    </w:p>
    <w:p>
      <w:pPr>
        <w:pStyle w:val="ListParagraph"/>
        <w:numPr>
          <w:ilvl w:val="0"/>
          <w:numId w:val="1"/>
        </w:numPr>
        <w:tabs>
          <w:tab w:pos="1064" w:val="left" w:leader="none"/>
        </w:tabs>
        <w:spacing w:line="240" w:lineRule="auto" w:before="0" w:after="0"/>
        <w:ind w:left="1064" w:right="0" w:hanging="322"/>
        <w:jc w:val="left"/>
        <w:rPr>
          <w:sz w:val="32"/>
        </w:rPr>
      </w:pPr>
      <w:r>
        <w:rPr>
          <w:sz w:val="32"/>
        </w:rPr>
        <w:t>具备适应岗位要求的身体条件及心理素质；</w:t>
      </w:r>
    </w:p>
    <w:p>
      <w:pPr>
        <w:pStyle w:val="BodyText"/>
        <w:spacing w:line="374" w:lineRule="auto" w:before="231"/>
        <w:ind w:right="282" w:firstLine="638"/>
      </w:pPr>
      <w:r>
        <w:rPr/>
        <w:t>6.18</w:t>
      </w:r>
      <w:r>
        <w:rPr>
          <w:spacing w:val="-15"/>
        </w:rPr>
        <w:t> 周岁以上、</w:t>
      </w:r>
      <w:r>
        <w:rPr/>
        <w:t>35</w:t>
      </w:r>
      <w:r>
        <w:rPr>
          <w:spacing w:val="-17"/>
        </w:rPr>
        <w:t> 周岁以下</w:t>
      </w:r>
      <w:r>
        <w:rPr/>
        <w:t>（1986</w:t>
      </w:r>
      <w:r>
        <w:rPr>
          <w:spacing w:val="-55"/>
        </w:rPr>
        <w:t> 年 </w:t>
      </w:r>
      <w:r>
        <w:rPr/>
        <w:t>1</w:t>
      </w:r>
      <w:r>
        <w:rPr>
          <w:spacing w:val="-54"/>
        </w:rPr>
        <w:t> 月 </w:t>
      </w:r>
      <w:r>
        <w:rPr/>
        <w:t>1</w:t>
      </w:r>
      <w:r>
        <w:rPr>
          <w:spacing w:val="-41"/>
        </w:rPr>
        <w:t> 日至 </w:t>
      </w:r>
      <w:r>
        <w:rPr/>
        <w:t>2003</w:t>
      </w:r>
      <w:r>
        <w:rPr>
          <w:spacing w:val="-55"/>
        </w:rPr>
        <w:t> 年 </w:t>
      </w:r>
      <w:r>
        <w:rPr/>
        <w:t>1 </w:t>
      </w:r>
      <w:r>
        <w:rPr>
          <w:spacing w:val="-41"/>
        </w:rPr>
        <w:t>月 </w:t>
      </w:r>
      <w:r>
        <w:rPr/>
        <w:t>1</w:t>
      </w:r>
      <w:r>
        <w:rPr>
          <w:spacing w:val="-15"/>
        </w:rPr>
        <w:t> 日期间出生</w:t>
      </w:r>
      <w:r>
        <w:rPr/>
        <w:t>）；</w:t>
      </w:r>
    </w:p>
    <w:p>
      <w:pPr>
        <w:spacing w:after="0" w:line="374" w:lineRule="auto"/>
        <w:sectPr>
          <w:type w:val="continuous"/>
          <w:pgSz w:w="11910" w:h="16840"/>
          <w:pgMar w:top="1580" w:bottom="280" w:left="1360" w:right="1200"/>
        </w:sectPr>
      </w:pPr>
    </w:p>
    <w:p>
      <w:pPr>
        <w:pStyle w:val="BodyText"/>
        <w:spacing w:before="34"/>
        <w:ind w:left="742"/>
      </w:pPr>
      <w:r>
        <w:rPr/>
        <w:t>7.满足岗位所需要的其他条件。</w:t>
      </w:r>
    </w:p>
    <w:p>
      <w:pPr>
        <w:pStyle w:val="BodyText"/>
        <w:spacing w:line="374" w:lineRule="auto" w:before="231"/>
        <w:ind w:right="102" w:firstLine="638"/>
      </w:pPr>
      <w:r>
        <w:rPr/>
        <w:t>有以下情形之一者不得报考：曾因犯罪受过刑事处罚的；曾</w:t>
      </w:r>
      <w:r>
        <w:rPr>
          <w:spacing w:val="-12"/>
        </w:rPr>
        <w:t>被开除党籍、公职的；曾因违纪违规被用人单位解除劳动关系的； </w:t>
      </w:r>
      <w:r>
        <w:rPr/>
        <w:t>曾在各级公职人员招考中被认定有舞弊等严重违反考试录用纪律行为的；涉嫌违纪违法正在接受审查尚未作出结论的；受到处分期间或未满影响期限的；被依法列入失信联合惩戒对象名单的。</w:t>
      </w:r>
    </w:p>
    <w:p>
      <w:pPr>
        <w:pStyle w:val="BodyText"/>
        <w:spacing w:before="1"/>
        <w:ind w:left="742"/>
      </w:pPr>
      <w:r>
        <w:rPr/>
        <w:t>报名人员不得报考聘用后构成回避关系的招聘岗位。</w:t>
      </w:r>
    </w:p>
    <w:p>
      <w:pPr>
        <w:pStyle w:val="BodyText"/>
        <w:spacing w:before="147"/>
        <w:ind w:left="742"/>
        <w:rPr>
          <w:rFonts w:ascii="黑体" w:eastAsia="黑体" w:hint="eastAsia"/>
        </w:rPr>
      </w:pPr>
      <w:r>
        <w:rPr>
          <w:rFonts w:ascii="黑体" w:eastAsia="黑体" w:hint="eastAsia"/>
        </w:rPr>
        <w:t>三、招聘岗位及岗位要求</w:t>
      </w:r>
    </w:p>
    <w:p>
      <w:pPr>
        <w:pStyle w:val="BodyText"/>
        <w:spacing w:line="364" w:lineRule="auto"/>
        <w:ind w:right="261" w:firstLine="638"/>
        <w:jc w:val="both"/>
      </w:pPr>
      <w:r>
        <w:rPr/>
        <w:t>招聘单位简介、招聘岗位信息详见《南水北调中线建管局简</w:t>
      </w:r>
      <w:r>
        <w:rPr>
          <w:spacing w:val="-12"/>
        </w:rPr>
        <w:t>介》</w:t>
      </w:r>
      <w:r>
        <w:rPr/>
        <w:t>（</w:t>
      </w:r>
      <w:r>
        <w:rPr>
          <w:spacing w:val="-29"/>
        </w:rPr>
        <w:t>附件 </w:t>
      </w:r>
      <w:r>
        <w:rPr>
          <w:spacing w:val="-6"/>
        </w:rPr>
        <w:t>1）</w:t>
      </w:r>
      <w:r>
        <w:rPr>
          <w:spacing w:val="-12"/>
        </w:rPr>
        <w:t>、《南水北调中线建管局 </w:t>
      </w:r>
      <w:r>
        <w:rPr/>
        <w:t>2021</w:t>
      </w:r>
      <w:r>
        <w:rPr>
          <w:spacing w:val="-11"/>
        </w:rPr>
        <w:t> 年公开招聘工作人员岗位信息》（</w:t>
      </w:r>
      <w:r>
        <w:rPr>
          <w:spacing w:val="-35"/>
        </w:rPr>
        <w:t>附件 </w:t>
      </w:r>
      <w:r>
        <w:rPr/>
        <w:t>2）。</w:t>
      </w:r>
    </w:p>
    <w:p>
      <w:pPr>
        <w:pStyle w:val="BodyText"/>
        <w:spacing w:before="2"/>
        <w:ind w:left="742"/>
        <w:rPr>
          <w:rFonts w:ascii="黑体" w:eastAsia="黑体" w:hint="eastAsia"/>
        </w:rPr>
      </w:pPr>
      <w:r>
        <w:rPr>
          <w:rFonts w:ascii="黑体" w:eastAsia="黑体" w:hint="eastAsia"/>
        </w:rPr>
        <w:t>四、报名</w:t>
      </w:r>
    </w:p>
    <w:p>
      <w:pPr>
        <w:pStyle w:val="ListParagraph"/>
        <w:numPr>
          <w:ilvl w:val="0"/>
          <w:numId w:val="2"/>
        </w:numPr>
        <w:tabs>
          <w:tab w:pos="1224" w:val="left" w:leader="none"/>
        </w:tabs>
        <w:spacing w:line="240" w:lineRule="auto" w:before="214" w:after="0"/>
        <w:ind w:left="1223" w:right="0" w:hanging="482"/>
        <w:jc w:val="both"/>
        <w:rPr>
          <w:sz w:val="32"/>
        </w:rPr>
      </w:pPr>
      <w:r>
        <w:rPr>
          <w:sz w:val="32"/>
        </w:rPr>
        <w:t>报名时间：2021</w:t>
      </w:r>
      <w:r>
        <w:rPr>
          <w:spacing w:val="-54"/>
          <w:sz w:val="32"/>
        </w:rPr>
        <w:t> 年 </w:t>
      </w:r>
      <w:r>
        <w:rPr>
          <w:sz w:val="32"/>
        </w:rPr>
        <w:t>3</w:t>
      </w:r>
      <w:r>
        <w:rPr>
          <w:spacing w:val="-54"/>
          <w:sz w:val="32"/>
        </w:rPr>
        <w:t> 月 </w:t>
      </w:r>
      <w:r>
        <w:rPr>
          <w:sz w:val="32"/>
        </w:rPr>
        <w:t>23</w:t>
      </w:r>
      <w:r>
        <w:rPr>
          <w:spacing w:val="-40"/>
          <w:sz w:val="32"/>
        </w:rPr>
        <w:t> 日至 </w:t>
      </w:r>
      <w:r>
        <w:rPr>
          <w:sz w:val="32"/>
        </w:rPr>
        <w:t>4</w:t>
      </w:r>
      <w:r>
        <w:rPr>
          <w:spacing w:val="-54"/>
          <w:sz w:val="32"/>
        </w:rPr>
        <w:t> 月 </w:t>
      </w:r>
      <w:r>
        <w:rPr>
          <w:sz w:val="32"/>
        </w:rPr>
        <w:t>9</w:t>
      </w:r>
      <w:r>
        <w:rPr>
          <w:spacing w:val="-40"/>
          <w:sz w:val="32"/>
        </w:rPr>
        <w:t> 日</w:t>
      </w:r>
    </w:p>
    <w:p>
      <w:pPr>
        <w:pStyle w:val="ListParagraph"/>
        <w:numPr>
          <w:ilvl w:val="0"/>
          <w:numId w:val="2"/>
        </w:numPr>
        <w:tabs>
          <w:tab w:pos="1224" w:val="left" w:leader="none"/>
        </w:tabs>
        <w:spacing w:line="364" w:lineRule="auto" w:before="214" w:after="0"/>
        <w:ind w:left="104" w:right="261" w:firstLine="638"/>
        <w:jc w:val="both"/>
        <w:rPr>
          <w:sz w:val="32"/>
        </w:rPr>
      </w:pPr>
      <w:r>
        <w:rPr>
          <w:spacing w:val="-10"/>
          <w:sz w:val="32"/>
        </w:rPr>
        <w:t>报名方法：采取网上报名方式，不设现场报名。报考人</w:t>
      </w:r>
      <w:r>
        <w:rPr>
          <w:spacing w:val="-14"/>
          <w:w w:val="95"/>
          <w:sz w:val="32"/>
        </w:rPr>
        <w:t>员请登录中国水利人才网</w:t>
      </w:r>
      <w:hyperlink r:id="rId5">
        <w:r>
          <w:rPr>
            <w:spacing w:val="-4"/>
            <w:w w:val="95"/>
            <w:sz w:val="32"/>
          </w:rPr>
          <w:t>（http://rencai.mwr.cn/</w:t>
        </w:r>
      </w:hyperlink>
      <w:r>
        <w:rPr>
          <w:spacing w:val="-4"/>
          <w:w w:val="95"/>
          <w:sz w:val="32"/>
        </w:rPr>
        <w:t>），</w:t>
      </w:r>
      <w:r>
        <w:rPr>
          <w:w w:val="95"/>
          <w:sz w:val="32"/>
        </w:rPr>
        <w:t>进入水利 </w:t>
      </w:r>
      <w:r>
        <w:rPr>
          <w:spacing w:val="39"/>
          <w:sz w:val="32"/>
        </w:rPr>
        <w:t>部所 属 在 京 单 位 公 开 招 聘 工 作 人 员 主</w:t>
      </w:r>
      <w:r>
        <w:rPr>
          <w:spacing w:val="-15"/>
          <w:sz w:val="32"/>
        </w:rPr>
        <w:t>页</w:t>
      </w:r>
    </w:p>
    <w:p>
      <w:pPr>
        <w:pStyle w:val="BodyText"/>
        <w:spacing w:before="3"/>
      </w:pPr>
      <w:hyperlink r:id="rId6">
        <w:r>
          <w:rPr/>
          <w:t>（http://zjdw2021.slrsks.cn</w:t>
        </w:r>
      </w:hyperlink>
      <w:r>
        <w:rPr/>
        <w:t>）进行注册报名。</w:t>
      </w:r>
    </w:p>
    <w:p>
      <w:pPr>
        <w:pStyle w:val="BodyText"/>
        <w:spacing w:line="364" w:lineRule="auto"/>
        <w:ind w:right="102" w:firstLine="638"/>
      </w:pPr>
      <w:r>
        <w:rPr>
          <w:spacing w:val="-10"/>
        </w:rPr>
        <w:t>报考人员只能选择一个岗位进行报名。报名实行诚信承诺制， </w:t>
      </w:r>
      <w:r>
        <w:rPr/>
        <w:t>报考者须如实提交有关信息和材料，凡弄虚作假的，一经查实， 即取消考试资格或聘用资格。</w:t>
      </w:r>
    </w:p>
    <w:p>
      <w:pPr>
        <w:pStyle w:val="ListParagraph"/>
        <w:numPr>
          <w:ilvl w:val="0"/>
          <w:numId w:val="2"/>
        </w:numPr>
        <w:tabs>
          <w:tab w:pos="1064" w:val="left" w:leader="none"/>
        </w:tabs>
        <w:spacing w:line="374" w:lineRule="auto" w:before="86" w:after="0"/>
        <w:ind w:left="104" w:right="261" w:firstLine="638"/>
        <w:jc w:val="left"/>
        <w:rPr>
          <w:sz w:val="32"/>
        </w:rPr>
      </w:pPr>
      <w:r>
        <w:rPr>
          <w:sz w:val="32"/>
        </w:rPr>
        <w:t>资格审核。南水北调中线建管局参照教育部学科和专业目录等对报名人员进行资格审核，同一岗位通过资格审核人数与该</w:t>
      </w:r>
    </w:p>
    <w:p>
      <w:pPr>
        <w:spacing w:after="0" w:line="374" w:lineRule="auto"/>
        <w:jc w:val="left"/>
        <w:rPr>
          <w:sz w:val="32"/>
        </w:rPr>
        <w:sectPr>
          <w:pgSz w:w="11910" w:h="16840"/>
          <w:pgMar w:top="1580" w:bottom="280" w:left="1360" w:right="1200"/>
        </w:sectPr>
      </w:pPr>
    </w:p>
    <w:p>
      <w:pPr>
        <w:pStyle w:val="BodyText"/>
        <w:spacing w:line="374" w:lineRule="auto" w:before="34"/>
        <w:ind w:right="261"/>
        <w:jc w:val="both"/>
      </w:pPr>
      <w:r>
        <w:rPr>
          <w:spacing w:val="-7"/>
        </w:rPr>
        <w:t>岗位招聘人数的比例达到 </w:t>
      </w:r>
      <w:r>
        <w:rPr/>
        <w:t>3:1</w:t>
      </w:r>
      <w:r>
        <w:rPr>
          <w:spacing w:val="-9"/>
        </w:rPr>
        <w:t> 方可开考，达不到该比例的，视情况减少该岗位招聘人数或取消该岗位招聘计划。某岗位因通过资格审核人数不满足要求取消招聘计划的，报考该岗位人员经协商可调剂至其他符合报考条件的岗位。</w:t>
      </w:r>
    </w:p>
    <w:p>
      <w:pPr>
        <w:pStyle w:val="BodyText"/>
        <w:spacing w:line="328" w:lineRule="exact" w:before="0"/>
        <w:ind w:left="742"/>
      </w:pPr>
      <w:r>
        <w:rPr/>
        <w:t>应届毕业生办理聘用手续时，需要同时提供相应的毕业证、</w:t>
      </w:r>
    </w:p>
    <w:p>
      <w:pPr>
        <w:pStyle w:val="BodyText"/>
        <w:spacing w:line="364" w:lineRule="auto"/>
        <w:ind w:right="261"/>
      </w:pPr>
      <w:r>
        <w:rPr>
          <w:spacing w:val="-15"/>
        </w:rPr>
        <w:t>学位证以及 </w:t>
      </w:r>
      <w:r>
        <w:rPr/>
        <w:t>2021</w:t>
      </w:r>
      <w:r>
        <w:rPr>
          <w:spacing w:val="-18"/>
        </w:rPr>
        <w:t> 年毕业生报到证，否则取消聘用资格，考生可根据此情况选择是否报考。</w:t>
      </w:r>
    </w:p>
    <w:p>
      <w:pPr>
        <w:pStyle w:val="BodyText"/>
        <w:spacing w:before="1"/>
        <w:ind w:left="742"/>
        <w:rPr>
          <w:rFonts w:ascii="黑体" w:eastAsia="黑体" w:hint="eastAsia"/>
        </w:rPr>
      </w:pPr>
      <w:r>
        <w:rPr>
          <w:rFonts w:ascii="黑体" w:eastAsia="黑体" w:hint="eastAsia"/>
        </w:rPr>
        <w:t>五、考试</w:t>
      </w:r>
    </w:p>
    <w:p>
      <w:pPr>
        <w:pStyle w:val="Heading3"/>
        <w:spacing w:before="214"/>
      </w:pPr>
      <w:r>
        <w:rPr/>
        <w:t>（一）笔试（第一轮）</w:t>
      </w:r>
    </w:p>
    <w:p>
      <w:pPr>
        <w:pStyle w:val="BodyText"/>
        <w:spacing w:line="364" w:lineRule="auto"/>
        <w:ind w:right="261" w:firstLine="638"/>
      </w:pPr>
      <w:r>
        <w:rPr/>
        <w:t>笔试委托水利部人才资源开发中心组织实施，视疫情防控情况 ， 考 试 有 关 具 体 事 宜 将 在 中 国 水 利 人 才 网</w:t>
      </w:r>
    </w:p>
    <w:p>
      <w:pPr>
        <w:pStyle w:val="BodyText"/>
        <w:spacing w:line="364" w:lineRule="auto" w:before="2"/>
        <w:ind w:right="261"/>
      </w:pPr>
      <w:hyperlink r:id="rId5">
        <w:r>
          <w:rPr>
            <w:spacing w:val="-3"/>
            <w:w w:val="95"/>
          </w:rPr>
          <w:t>（http://rencai.mwr.cn/</w:t>
        </w:r>
      </w:hyperlink>
      <w:r>
        <w:rPr>
          <w:spacing w:val="-3"/>
          <w:w w:val="95"/>
        </w:rPr>
        <w:t>）</w:t>
      </w:r>
      <w:r>
        <w:rPr>
          <w:spacing w:val="-9"/>
          <w:w w:val="95"/>
        </w:rPr>
        <w:t>、报名平台和南水北调中线建管局官 </w:t>
      </w:r>
      <w:r>
        <w:rPr>
          <w:spacing w:val="-9"/>
        </w:rPr>
        <w:t>网公布，请考生关注。</w:t>
      </w:r>
    </w:p>
    <w:p>
      <w:pPr>
        <w:pStyle w:val="BodyText"/>
        <w:spacing w:line="364" w:lineRule="auto" w:before="2"/>
        <w:ind w:right="263" w:firstLine="638"/>
      </w:pPr>
      <w:r>
        <w:rPr/>
        <w:t>2.笔试内容包括时事政治、公共基础知识、水利相关知识、职业能力等方面。</w:t>
      </w:r>
    </w:p>
    <w:p>
      <w:pPr>
        <w:pStyle w:val="Heading3"/>
      </w:pPr>
      <w:r>
        <w:rPr/>
        <w:t>（二）面试（第二轮）</w:t>
      </w:r>
    </w:p>
    <w:p>
      <w:pPr>
        <w:pStyle w:val="BodyText"/>
        <w:spacing w:line="364" w:lineRule="auto"/>
        <w:ind w:right="261" w:firstLine="638"/>
        <w:jc w:val="both"/>
      </w:pPr>
      <w:r>
        <w:rPr/>
        <w:t>面试由南水北调中线建管局自行组织。根据笔试成绩从高到</w:t>
      </w:r>
      <w:r>
        <w:rPr>
          <w:spacing w:val="-5"/>
        </w:rPr>
        <w:t>低排序，每个岗位按照招聘人数的 </w:t>
      </w:r>
      <w:r>
        <w:rPr/>
        <w:t>5</w:t>
      </w:r>
      <w:r>
        <w:rPr>
          <w:spacing w:val="-9"/>
        </w:rPr>
        <w:t> 倍选取笔试人员参加面试；</w:t>
      </w:r>
    </w:p>
    <w:p>
      <w:pPr>
        <w:pStyle w:val="BodyText"/>
        <w:spacing w:line="364" w:lineRule="auto" w:before="2"/>
        <w:ind w:right="261"/>
        <w:jc w:val="both"/>
      </w:pPr>
      <w:r>
        <w:rPr>
          <w:spacing w:val="-9"/>
        </w:rPr>
        <w:t>未达到拟招聘人数 </w:t>
      </w:r>
      <w:r>
        <w:rPr/>
        <w:t>5</w:t>
      </w:r>
      <w:r>
        <w:rPr>
          <w:spacing w:val="-9"/>
        </w:rPr>
        <w:t> 倍的，需达到合格分数线方可进入面试。笔试成绩不带入面试。如考生放弃面试资格，按笔试成绩从高到低的顺序依次递补。面试具体时间、地点和有关事项另行通知。</w:t>
      </w:r>
    </w:p>
    <w:p>
      <w:pPr>
        <w:pStyle w:val="BodyText"/>
        <w:spacing w:before="2"/>
        <w:ind w:left="742"/>
        <w:rPr>
          <w:rFonts w:ascii="黑体" w:eastAsia="黑体" w:hint="eastAsia"/>
        </w:rPr>
      </w:pPr>
      <w:r>
        <w:rPr>
          <w:rFonts w:ascii="黑体" w:eastAsia="黑体" w:hint="eastAsia"/>
        </w:rPr>
        <w:t>六、体检和考察</w:t>
      </w:r>
    </w:p>
    <w:p>
      <w:pPr>
        <w:spacing w:after="0"/>
        <w:rPr>
          <w:rFonts w:ascii="黑体" w:eastAsia="黑体" w:hint="eastAsia"/>
        </w:rPr>
        <w:sectPr>
          <w:pgSz w:w="11910" w:h="16840"/>
          <w:pgMar w:top="1580" w:bottom="280" w:left="1360" w:right="1200"/>
        </w:sectPr>
      </w:pPr>
    </w:p>
    <w:p>
      <w:pPr>
        <w:pStyle w:val="BodyText"/>
        <w:spacing w:line="362" w:lineRule="auto" w:before="39"/>
        <w:ind w:right="264" w:firstLine="638"/>
      </w:pPr>
      <w:r>
        <w:rPr>
          <w:spacing w:val="-5"/>
        </w:rPr>
        <w:t>根据面试成绩从高到低排序，按照 </w:t>
      </w:r>
      <w:r>
        <w:rPr/>
        <w:t>1:1</w:t>
      </w:r>
      <w:r>
        <w:rPr>
          <w:spacing w:val="-9"/>
        </w:rPr>
        <w:t> 的比例确定各岗位体检、考察人选。</w:t>
      </w:r>
    </w:p>
    <w:p>
      <w:pPr>
        <w:pStyle w:val="BodyText"/>
        <w:spacing w:line="364" w:lineRule="auto" w:before="1"/>
        <w:ind w:right="261" w:firstLine="638"/>
      </w:pPr>
      <w:r>
        <w:rPr/>
        <w:t>（一）体检参照《国家公务员录用体检通用标准》执行。不按时参加体检者，视同放弃资格。体检不合格的，不予录用。</w:t>
      </w:r>
    </w:p>
    <w:p>
      <w:pPr>
        <w:pStyle w:val="BodyText"/>
        <w:spacing w:line="374" w:lineRule="auto" w:before="11"/>
        <w:ind w:right="261" w:firstLine="638"/>
      </w:pPr>
      <w:r>
        <w:rPr/>
        <w:t>（二）体检合格后开展考察，考察需到考生所在学校进行， 包括审核档案和考察思想政治表现、道德品质、专业能力等。</w:t>
      </w:r>
    </w:p>
    <w:p>
      <w:pPr>
        <w:pStyle w:val="BodyText"/>
        <w:spacing w:line="374" w:lineRule="auto" w:before="0"/>
        <w:ind w:right="102" w:firstLine="638"/>
      </w:pPr>
      <w:r>
        <w:rPr/>
        <w:t>（三）因考生自愿放弃、体检或考察不合格等原因产生的岗</w:t>
      </w:r>
      <w:r>
        <w:rPr>
          <w:spacing w:val="-12"/>
          <w:w w:val="95"/>
        </w:rPr>
        <w:t>位候选人空缺，经研究，可按面试成绩由高到低的顺序依次递补， </w:t>
      </w:r>
      <w:r>
        <w:rPr>
          <w:spacing w:val="-12"/>
        </w:rPr>
        <w:t>也可以不再递补。</w:t>
      </w:r>
    </w:p>
    <w:p>
      <w:pPr>
        <w:pStyle w:val="BodyText"/>
        <w:spacing w:line="327" w:lineRule="exact" w:before="0"/>
        <w:ind w:left="742"/>
        <w:rPr>
          <w:rFonts w:ascii="黑体" w:eastAsia="黑体" w:hint="eastAsia"/>
        </w:rPr>
      </w:pPr>
      <w:r>
        <w:rPr>
          <w:rFonts w:ascii="黑体" w:eastAsia="黑体" w:hint="eastAsia"/>
        </w:rPr>
        <w:t>七、拟聘用人员公示</w:t>
      </w:r>
    </w:p>
    <w:p>
      <w:pPr>
        <w:pStyle w:val="BodyText"/>
        <w:spacing w:line="364" w:lineRule="auto"/>
        <w:ind w:right="261" w:firstLine="638"/>
        <w:jc w:val="both"/>
      </w:pPr>
      <w:r>
        <w:rPr/>
        <w:t>拟聘用人员名单在中央和国家机关所属事业单位公开招聘服务平台、中国水利人才网、南水北调中线建管局网站，面向社会公示。</w:t>
      </w:r>
    </w:p>
    <w:p>
      <w:pPr>
        <w:pStyle w:val="BodyText"/>
        <w:spacing w:before="2"/>
        <w:ind w:left="742"/>
        <w:rPr>
          <w:rFonts w:ascii="黑体" w:eastAsia="黑体" w:hint="eastAsia"/>
        </w:rPr>
      </w:pPr>
      <w:r>
        <w:rPr>
          <w:rFonts w:ascii="黑体" w:eastAsia="黑体" w:hint="eastAsia"/>
        </w:rPr>
        <w:t>八、聘用</w:t>
      </w:r>
    </w:p>
    <w:p>
      <w:pPr>
        <w:pStyle w:val="BodyText"/>
        <w:ind w:left="742"/>
      </w:pPr>
      <w:r>
        <w:rPr/>
        <w:t>公示结束无异议后，按相关规定签订劳动合同。</w:t>
      </w:r>
    </w:p>
    <w:p>
      <w:pPr>
        <w:pStyle w:val="BodyText"/>
        <w:ind w:left="742"/>
        <w:rPr>
          <w:rFonts w:ascii="黑体" w:eastAsia="黑体" w:hint="eastAsia"/>
        </w:rPr>
      </w:pPr>
      <w:r>
        <w:rPr>
          <w:rFonts w:ascii="黑体" w:eastAsia="黑体" w:hint="eastAsia"/>
        </w:rPr>
        <w:t>九、咨询电话</w:t>
      </w:r>
    </w:p>
    <w:p>
      <w:pPr>
        <w:pStyle w:val="BodyText"/>
        <w:spacing w:line="364" w:lineRule="auto"/>
        <w:ind w:left="742" w:right="4441"/>
      </w:pPr>
      <w:r>
        <w:rPr/>
        <w:t>报名咨询电话：010-88657054 技术咨询电话：010-63204113</w:t>
      </w:r>
    </w:p>
    <w:p>
      <w:pPr>
        <w:pStyle w:val="BodyText"/>
        <w:spacing w:before="0"/>
        <w:ind w:left="0"/>
      </w:pPr>
    </w:p>
    <w:p>
      <w:pPr>
        <w:pStyle w:val="BodyText"/>
        <w:spacing w:before="216"/>
        <w:ind w:left="660"/>
      </w:pPr>
      <w:r>
        <w:rPr/>
        <w:t>附件 1.南水北调中线建管局简介</w:t>
      </w:r>
    </w:p>
    <w:p>
      <w:pPr>
        <w:pStyle w:val="BodyText"/>
        <w:spacing w:line="364" w:lineRule="auto"/>
        <w:ind w:left="1781" w:right="195" w:hanging="1121"/>
      </w:pPr>
      <w:r>
        <w:rPr/>
        <w:t>附件 2.南水北调中线建管局 2021 年公开招聘工作人员岗位信息</w:t>
      </w:r>
    </w:p>
    <w:p>
      <w:pPr>
        <w:spacing w:after="0" w:line="364" w:lineRule="auto"/>
        <w:sectPr>
          <w:pgSz w:w="11910" w:h="16840"/>
          <w:pgMar w:top="1560" w:bottom="280" w:left="1360" w:right="1200"/>
        </w:sectPr>
      </w:pPr>
    </w:p>
    <w:p>
      <w:pPr>
        <w:pStyle w:val="BodyText"/>
        <w:spacing w:before="0"/>
        <w:ind w:left="0"/>
        <w:rPr>
          <w:sz w:val="20"/>
        </w:rPr>
      </w:pPr>
    </w:p>
    <w:p>
      <w:pPr>
        <w:pStyle w:val="BodyText"/>
        <w:spacing w:before="7"/>
        <w:ind w:left="0"/>
        <w:rPr>
          <w:sz w:val="20"/>
        </w:rPr>
      </w:pPr>
    </w:p>
    <w:p>
      <w:pPr>
        <w:pStyle w:val="BodyText"/>
        <w:spacing w:line="364" w:lineRule="auto" w:before="54"/>
        <w:ind w:left="6603" w:right="261" w:hanging="401"/>
        <w:jc w:val="right"/>
      </w:pPr>
      <w:r>
        <w:rPr>
          <w:spacing w:val="-2"/>
          <w:w w:val="95"/>
        </w:rPr>
        <w:t>南水北调中线建管局</w:t>
      </w:r>
      <w:r>
        <w:rPr/>
        <w:t>2021</w:t>
      </w:r>
      <w:r>
        <w:rPr>
          <w:spacing w:val="-55"/>
        </w:rPr>
        <w:t> 年 </w:t>
      </w:r>
      <w:r>
        <w:rPr/>
        <w:t>3</w:t>
      </w:r>
      <w:r>
        <w:rPr>
          <w:spacing w:val="-55"/>
        </w:rPr>
        <w:t> 月 </w:t>
      </w:r>
      <w:r>
        <w:rPr/>
        <w:t>23</w:t>
      </w:r>
      <w:r>
        <w:rPr>
          <w:spacing w:val="-47"/>
        </w:rPr>
        <w:t> 日</w:t>
      </w:r>
    </w:p>
    <w:p>
      <w:pPr>
        <w:spacing w:after="0" w:line="364" w:lineRule="auto"/>
        <w:jc w:val="right"/>
        <w:sectPr>
          <w:pgSz w:w="11910" w:h="16840"/>
          <w:pgMar w:top="1580" w:bottom="280" w:left="1360" w:right="1200"/>
        </w:sectPr>
      </w:pPr>
    </w:p>
    <w:p>
      <w:pPr>
        <w:pStyle w:val="BodyText"/>
        <w:spacing w:before="0"/>
        <w:ind w:left="0"/>
        <w:rPr>
          <w:sz w:val="20"/>
        </w:rPr>
      </w:pPr>
    </w:p>
    <w:p>
      <w:pPr>
        <w:pStyle w:val="BodyText"/>
        <w:spacing w:before="6"/>
        <w:ind w:left="0"/>
        <w:rPr>
          <w:sz w:val="14"/>
        </w:rPr>
      </w:pPr>
    </w:p>
    <w:p>
      <w:pPr>
        <w:spacing w:before="62"/>
        <w:ind w:left="1272" w:right="0" w:firstLine="0"/>
        <w:jc w:val="left"/>
        <w:rPr>
          <w:sz w:val="28"/>
        </w:rPr>
      </w:pPr>
      <w:r>
        <w:rPr>
          <w:sz w:val="28"/>
        </w:rPr>
        <w:t>附件 1：</w:t>
      </w:r>
    </w:p>
    <w:p>
      <w:pPr>
        <w:pStyle w:val="BodyText"/>
        <w:spacing w:before="0"/>
        <w:ind w:left="0"/>
        <w:rPr>
          <w:sz w:val="20"/>
        </w:rPr>
      </w:pPr>
    </w:p>
    <w:p>
      <w:pPr>
        <w:pStyle w:val="Heading1"/>
        <w:spacing w:before="150"/>
        <w:ind w:left="5902" w:right="5917"/>
        <w:jc w:val="center"/>
        <w:rPr>
          <w:rFonts w:ascii="微软雅黑" w:eastAsia="微软雅黑" w:hint="eastAsia"/>
        </w:rPr>
      </w:pPr>
      <w:r>
        <w:rPr>
          <w:rFonts w:ascii="微软雅黑" w:eastAsia="微软雅黑" w:hint="eastAsia"/>
        </w:rPr>
        <w:t>南水北调中线建管局简介</w:t>
      </w:r>
    </w:p>
    <w:p>
      <w:pPr>
        <w:pStyle w:val="BodyText"/>
        <w:spacing w:before="16" w:after="1"/>
        <w:ind w:left="0"/>
        <w:rPr>
          <w:rFonts w:ascii="微软雅黑"/>
          <w:b/>
          <w:sz w:val="16"/>
        </w:rPr>
      </w:pPr>
    </w:p>
    <w:tbl>
      <w:tblPr>
        <w:tblW w:w="0" w:type="auto"/>
        <w:jc w:val="left"/>
        <w:tblInd w:w="1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6"/>
        <w:gridCol w:w="8415"/>
        <w:gridCol w:w="1711"/>
        <w:gridCol w:w="838"/>
      </w:tblGrid>
      <w:tr>
        <w:trPr>
          <w:trHeight w:val="735" w:hRule="atLeast"/>
        </w:trPr>
        <w:tc>
          <w:tcPr>
            <w:tcW w:w="2316" w:type="dxa"/>
          </w:tcPr>
          <w:p>
            <w:pPr>
              <w:pStyle w:val="TableParagraph"/>
              <w:rPr>
                <w:rFonts w:ascii="微软雅黑"/>
                <w:b/>
                <w:sz w:val="12"/>
              </w:rPr>
            </w:pPr>
          </w:p>
          <w:p>
            <w:pPr>
              <w:pStyle w:val="TableParagraph"/>
              <w:spacing w:before="1"/>
              <w:ind w:left="178" w:right="165"/>
              <w:jc w:val="center"/>
              <w:rPr>
                <w:b/>
                <w:sz w:val="24"/>
              </w:rPr>
            </w:pPr>
            <w:r>
              <w:rPr>
                <w:b/>
                <w:sz w:val="24"/>
              </w:rPr>
              <w:t>单位名称</w:t>
            </w:r>
          </w:p>
        </w:tc>
        <w:tc>
          <w:tcPr>
            <w:tcW w:w="8415" w:type="dxa"/>
          </w:tcPr>
          <w:p>
            <w:pPr>
              <w:pStyle w:val="TableParagraph"/>
              <w:rPr>
                <w:rFonts w:ascii="微软雅黑"/>
                <w:b/>
                <w:sz w:val="12"/>
              </w:rPr>
            </w:pPr>
          </w:p>
          <w:p>
            <w:pPr>
              <w:pStyle w:val="TableParagraph"/>
              <w:spacing w:before="1"/>
              <w:ind w:left="3705" w:right="3695"/>
              <w:jc w:val="center"/>
              <w:rPr>
                <w:b/>
                <w:sz w:val="24"/>
              </w:rPr>
            </w:pPr>
            <w:r>
              <w:rPr>
                <w:b/>
                <w:sz w:val="24"/>
              </w:rPr>
              <w:t>单位简介</w:t>
            </w:r>
          </w:p>
        </w:tc>
        <w:tc>
          <w:tcPr>
            <w:tcW w:w="1711" w:type="dxa"/>
          </w:tcPr>
          <w:p>
            <w:pPr>
              <w:pStyle w:val="TableParagraph"/>
              <w:rPr>
                <w:rFonts w:ascii="微软雅黑"/>
                <w:b/>
                <w:sz w:val="12"/>
              </w:rPr>
            </w:pPr>
          </w:p>
          <w:p>
            <w:pPr>
              <w:pStyle w:val="TableParagraph"/>
              <w:spacing w:before="1"/>
              <w:ind w:left="375"/>
              <w:rPr>
                <w:b/>
                <w:sz w:val="24"/>
              </w:rPr>
            </w:pPr>
            <w:r>
              <w:rPr>
                <w:b/>
                <w:sz w:val="24"/>
              </w:rPr>
              <w:t>咨询电话</w:t>
            </w:r>
          </w:p>
        </w:tc>
        <w:tc>
          <w:tcPr>
            <w:tcW w:w="838" w:type="dxa"/>
          </w:tcPr>
          <w:p>
            <w:pPr>
              <w:pStyle w:val="TableParagraph"/>
              <w:rPr>
                <w:rFonts w:ascii="微软雅黑"/>
                <w:b/>
                <w:sz w:val="12"/>
              </w:rPr>
            </w:pPr>
          </w:p>
          <w:p>
            <w:pPr>
              <w:pStyle w:val="TableParagraph"/>
              <w:spacing w:before="1"/>
              <w:ind w:left="178"/>
              <w:rPr>
                <w:b/>
                <w:sz w:val="24"/>
              </w:rPr>
            </w:pPr>
            <w:r>
              <w:rPr>
                <w:b/>
                <w:sz w:val="24"/>
              </w:rPr>
              <w:t>备注</w:t>
            </w:r>
          </w:p>
        </w:tc>
      </w:tr>
      <w:tr>
        <w:trPr>
          <w:trHeight w:val="323" w:hRule="atLeast"/>
        </w:trPr>
        <w:tc>
          <w:tcPr>
            <w:tcW w:w="2316" w:type="dxa"/>
            <w:tcBorders>
              <w:bottom w:val="nil"/>
            </w:tcBorders>
          </w:tcPr>
          <w:p>
            <w:pPr>
              <w:pStyle w:val="TableParagraph"/>
              <w:rPr>
                <w:rFonts w:ascii="Times New Roman"/>
                <w:sz w:val="24"/>
              </w:rPr>
            </w:pPr>
          </w:p>
        </w:tc>
        <w:tc>
          <w:tcPr>
            <w:tcW w:w="8415" w:type="dxa"/>
            <w:tcBorders>
              <w:bottom w:val="nil"/>
            </w:tcBorders>
          </w:tcPr>
          <w:p>
            <w:pPr>
              <w:pStyle w:val="TableParagraph"/>
              <w:spacing w:line="285" w:lineRule="exact" w:before="18"/>
              <w:ind w:left="13"/>
              <w:rPr>
                <w:sz w:val="24"/>
              </w:rPr>
            </w:pPr>
            <w:r>
              <w:rPr>
                <w:spacing w:val="-5"/>
                <w:sz w:val="24"/>
              </w:rPr>
              <w:t>水利部直属大型国有企业，成立于 </w:t>
            </w:r>
            <w:r>
              <w:rPr>
                <w:sz w:val="24"/>
              </w:rPr>
              <w:t>2004</w:t>
            </w:r>
            <w:r>
              <w:rPr>
                <w:spacing w:val="-9"/>
                <w:sz w:val="24"/>
              </w:rPr>
              <w:t> 年，在国家工商行政管理总局登记注册</w:t>
            </w:r>
          </w:p>
        </w:tc>
        <w:tc>
          <w:tcPr>
            <w:tcW w:w="1711" w:type="dxa"/>
            <w:tcBorders>
              <w:bottom w:val="nil"/>
            </w:tcBorders>
          </w:tcPr>
          <w:p>
            <w:pPr>
              <w:pStyle w:val="TableParagraph"/>
              <w:spacing w:line="285" w:lineRule="exact" w:before="18"/>
              <w:ind w:left="-136"/>
              <w:rPr>
                <w:sz w:val="24"/>
              </w:rPr>
            </w:pPr>
            <w:r>
              <w:rPr>
                <w:sz w:val="24"/>
              </w:rPr>
              <w:t>，</w:t>
            </w:r>
          </w:p>
        </w:tc>
        <w:tc>
          <w:tcPr>
            <w:tcW w:w="838" w:type="dxa"/>
            <w:vMerge w:val="restart"/>
          </w:tcPr>
          <w:p>
            <w:pPr>
              <w:pStyle w:val="TableParagraph"/>
              <w:rPr>
                <w:rFonts w:ascii="Times New Roman"/>
                <w:sz w:val="24"/>
              </w:rPr>
            </w:pPr>
          </w:p>
        </w:tc>
      </w:tr>
      <w:tr>
        <w:trPr>
          <w:trHeight w:val="301" w:hRule="atLeast"/>
        </w:trPr>
        <w:tc>
          <w:tcPr>
            <w:tcW w:w="2316" w:type="dxa"/>
            <w:tcBorders>
              <w:top w:val="nil"/>
              <w:bottom w:val="nil"/>
            </w:tcBorders>
          </w:tcPr>
          <w:p>
            <w:pPr>
              <w:pStyle w:val="TableParagraph"/>
              <w:rPr>
                <w:rFonts w:ascii="Times New Roman"/>
                <w:sz w:val="22"/>
              </w:rPr>
            </w:pPr>
          </w:p>
        </w:tc>
        <w:tc>
          <w:tcPr>
            <w:tcW w:w="8415" w:type="dxa"/>
            <w:tcBorders>
              <w:top w:val="nil"/>
              <w:bottom w:val="nil"/>
            </w:tcBorders>
          </w:tcPr>
          <w:p>
            <w:pPr>
              <w:pStyle w:val="TableParagraph"/>
              <w:spacing w:line="282" w:lineRule="exact"/>
              <w:ind w:left="13"/>
              <w:rPr>
                <w:sz w:val="24"/>
              </w:rPr>
            </w:pPr>
            <w:r>
              <w:rPr>
                <w:spacing w:val="-10"/>
                <w:sz w:val="24"/>
              </w:rPr>
              <w:t>注册资本金 </w:t>
            </w:r>
            <w:r>
              <w:rPr>
                <w:sz w:val="24"/>
              </w:rPr>
              <w:t>3</w:t>
            </w:r>
            <w:r>
              <w:rPr>
                <w:spacing w:val="-9"/>
                <w:sz w:val="24"/>
              </w:rPr>
              <w:t> 亿元。现负责南水北调中线干线工程</w:t>
            </w:r>
            <w:r>
              <w:rPr>
                <w:sz w:val="24"/>
              </w:rPr>
              <w:t>（以下简称中线干线工程</w:t>
            </w:r>
            <w:r>
              <w:rPr>
                <w:spacing w:val="-5"/>
                <w:sz w:val="24"/>
              </w:rPr>
              <w:t>）</w:t>
            </w:r>
            <w:r>
              <w:rPr>
                <w:spacing w:val="-13"/>
                <w:sz w:val="24"/>
              </w:rPr>
              <w:t>的</w:t>
            </w:r>
          </w:p>
        </w:tc>
        <w:tc>
          <w:tcPr>
            <w:tcW w:w="1711" w:type="dxa"/>
            <w:tcBorders>
              <w:top w:val="nil"/>
              <w:bottom w:val="nil"/>
            </w:tcBorders>
          </w:tcPr>
          <w:p>
            <w:pPr>
              <w:pStyle w:val="TableParagraph"/>
              <w:rPr>
                <w:rFonts w:ascii="Times New Roman"/>
                <w:sz w:val="22"/>
              </w:rPr>
            </w:pPr>
          </w:p>
        </w:tc>
        <w:tc>
          <w:tcPr>
            <w:tcW w:w="838" w:type="dxa"/>
            <w:vMerge/>
            <w:tcBorders>
              <w:top w:val="nil"/>
            </w:tcBorders>
          </w:tcPr>
          <w:p>
            <w:pPr>
              <w:rPr>
                <w:sz w:val="2"/>
                <w:szCs w:val="2"/>
              </w:rPr>
            </w:pPr>
          </w:p>
        </w:tc>
      </w:tr>
      <w:tr>
        <w:trPr>
          <w:trHeight w:val="302" w:hRule="atLeast"/>
        </w:trPr>
        <w:tc>
          <w:tcPr>
            <w:tcW w:w="2316" w:type="dxa"/>
            <w:tcBorders>
              <w:top w:val="nil"/>
              <w:bottom w:val="nil"/>
            </w:tcBorders>
          </w:tcPr>
          <w:p>
            <w:pPr>
              <w:pStyle w:val="TableParagraph"/>
              <w:rPr>
                <w:rFonts w:ascii="Times New Roman"/>
                <w:sz w:val="22"/>
              </w:rPr>
            </w:pPr>
          </w:p>
        </w:tc>
        <w:tc>
          <w:tcPr>
            <w:tcW w:w="8415" w:type="dxa"/>
            <w:tcBorders>
              <w:top w:val="nil"/>
              <w:bottom w:val="nil"/>
            </w:tcBorders>
          </w:tcPr>
          <w:p>
            <w:pPr>
              <w:pStyle w:val="TableParagraph"/>
              <w:spacing w:line="282" w:lineRule="exact"/>
              <w:ind w:left="13"/>
              <w:rPr>
                <w:sz w:val="24"/>
              </w:rPr>
            </w:pPr>
            <w:r>
              <w:rPr>
                <w:sz w:val="24"/>
              </w:rPr>
              <w:t>建设和运营管理，资产规模超 1500 亿元，近两年水费收入约 80 亿元。</w:t>
            </w:r>
          </w:p>
        </w:tc>
        <w:tc>
          <w:tcPr>
            <w:tcW w:w="1711" w:type="dxa"/>
            <w:tcBorders>
              <w:top w:val="nil"/>
              <w:bottom w:val="nil"/>
            </w:tcBorders>
          </w:tcPr>
          <w:p>
            <w:pPr>
              <w:pStyle w:val="TableParagraph"/>
              <w:rPr>
                <w:rFonts w:ascii="Times New Roman"/>
                <w:sz w:val="22"/>
              </w:rPr>
            </w:pPr>
          </w:p>
        </w:tc>
        <w:tc>
          <w:tcPr>
            <w:tcW w:w="838" w:type="dxa"/>
            <w:vMerge/>
            <w:tcBorders>
              <w:top w:val="nil"/>
            </w:tcBorders>
          </w:tcPr>
          <w:p>
            <w:pPr>
              <w:rPr>
                <w:sz w:val="2"/>
                <w:szCs w:val="2"/>
              </w:rPr>
            </w:pPr>
          </w:p>
        </w:tc>
      </w:tr>
      <w:tr>
        <w:trPr>
          <w:trHeight w:val="301" w:hRule="atLeast"/>
        </w:trPr>
        <w:tc>
          <w:tcPr>
            <w:tcW w:w="2316" w:type="dxa"/>
            <w:tcBorders>
              <w:top w:val="nil"/>
              <w:bottom w:val="nil"/>
            </w:tcBorders>
          </w:tcPr>
          <w:p>
            <w:pPr>
              <w:pStyle w:val="TableParagraph"/>
              <w:rPr>
                <w:rFonts w:ascii="Times New Roman"/>
                <w:sz w:val="22"/>
              </w:rPr>
            </w:pPr>
          </w:p>
        </w:tc>
        <w:tc>
          <w:tcPr>
            <w:tcW w:w="8415" w:type="dxa"/>
            <w:tcBorders>
              <w:top w:val="nil"/>
              <w:bottom w:val="nil"/>
            </w:tcBorders>
          </w:tcPr>
          <w:p>
            <w:pPr>
              <w:pStyle w:val="TableParagraph"/>
              <w:spacing w:line="282" w:lineRule="exact"/>
              <w:ind w:left="13"/>
              <w:rPr>
                <w:sz w:val="24"/>
              </w:rPr>
            </w:pPr>
            <w:r>
              <w:rPr>
                <w:spacing w:val="-11"/>
                <w:sz w:val="24"/>
              </w:rPr>
              <w:t>中线干线工程起自丹江口水库的陶岔渠首，跨越河南、河北、天津、北京 </w:t>
            </w:r>
            <w:r>
              <w:rPr>
                <w:sz w:val="24"/>
              </w:rPr>
              <w:t>4</w:t>
            </w:r>
            <w:r>
              <w:rPr>
                <w:spacing w:val="-56"/>
                <w:sz w:val="24"/>
              </w:rPr>
              <w:t> 省</w:t>
            </w:r>
            <w:r>
              <w:rPr>
                <w:sz w:val="24"/>
              </w:rPr>
              <w:t>（</w:t>
            </w:r>
            <w:r>
              <w:rPr>
                <w:spacing w:val="-11"/>
                <w:sz w:val="24"/>
              </w:rPr>
              <w:t>直</w:t>
            </w:r>
          </w:p>
        </w:tc>
        <w:tc>
          <w:tcPr>
            <w:tcW w:w="1711" w:type="dxa"/>
            <w:tcBorders>
              <w:top w:val="nil"/>
              <w:bottom w:val="nil"/>
            </w:tcBorders>
          </w:tcPr>
          <w:p>
            <w:pPr>
              <w:pStyle w:val="TableParagraph"/>
              <w:rPr>
                <w:rFonts w:ascii="Times New Roman"/>
                <w:sz w:val="22"/>
              </w:rPr>
            </w:pPr>
          </w:p>
        </w:tc>
        <w:tc>
          <w:tcPr>
            <w:tcW w:w="838" w:type="dxa"/>
            <w:vMerge/>
            <w:tcBorders>
              <w:top w:val="nil"/>
            </w:tcBorders>
          </w:tcPr>
          <w:p>
            <w:pPr>
              <w:rPr>
                <w:sz w:val="2"/>
                <w:szCs w:val="2"/>
              </w:rPr>
            </w:pPr>
          </w:p>
        </w:tc>
      </w:tr>
      <w:tr>
        <w:trPr>
          <w:trHeight w:val="618" w:hRule="atLeast"/>
        </w:trPr>
        <w:tc>
          <w:tcPr>
            <w:tcW w:w="2316" w:type="dxa"/>
            <w:tcBorders>
              <w:top w:val="nil"/>
              <w:bottom w:val="nil"/>
            </w:tcBorders>
          </w:tcPr>
          <w:p>
            <w:pPr>
              <w:pStyle w:val="TableParagraph"/>
              <w:spacing w:before="5"/>
              <w:rPr>
                <w:rFonts w:ascii="微软雅黑"/>
                <w:b/>
                <w:sz w:val="17"/>
              </w:rPr>
            </w:pPr>
          </w:p>
          <w:p>
            <w:pPr>
              <w:pStyle w:val="TableParagraph"/>
              <w:spacing w:line="280" w:lineRule="exact"/>
              <w:ind w:left="178" w:right="168"/>
              <w:jc w:val="center"/>
              <w:rPr>
                <w:sz w:val="24"/>
              </w:rPr>
            </w:pPr>
            <w:r>
              <w:rPr>
                <w:sz w:val="24"/>
              </w:rPr>
              <w:t>南水北调中线干线</w:t>
            </w:r>
          </w:p>
        </w:tc>
        <w:tc>
          <w:tcPr>
            <w:tcW w:w="8415" w:type="dxa"/>
            <w:tcBorders>
              <w:top w:val="nil"/>
              <w:bottom w:val="nil"/>
            </w:tcBorders>
          </w:tcPr>
          <w:p>
            <w:pPr>
              <w:pStyle w:val="TableParagraph"/>
              <w:spacing w:line="305" w:lineRule="exact"/>
              <w:ind w:left="13"/>
              <w:rPr>
                <w:sz w:val="24"/>
              </w:rPr>
            </w:pPr>
            <w:r>
              <w:rPr>
                <w:sz w:val="24"/>
              </w:rPr>
              <w:t>辖市），全长 1432 公里，其中总干渠长 1277 公里，天津干渠长 155 公里。</w:t>
            </w:r>
          </w:p>
          <w:p>
            <w:pPr>
              <w:pStyle w:val="TableParagraph"/>
              <w:spacing w:line="290" w:lineRule="exact" w:before="4"/>
              <w:ind w:left="13"/>
              <w:rPr>
                <w:sz w:val="24"/>
              </w:rPr>
            </w:pPr>
            <w:r>
              <w:rPr>
                <w:spacing w:val="-8"/>
                <w:sz w:val="24"/>
              </w:rPr>
              <w:t>中线建管局总部位于北京市海淀区，在河南南阳、河南郑州、河北石家庄、天津</w:t>
            </w:r>
          </w:p>
        </w:tc>
        <w:tc>
          <w:tcPr>
            <w:tcW w:w="1711" w:type="dxa"/>
            <w:tcBorders>
              <w:top w:val="nil"/>
              <w:bottom w:val="nil"/>
            </w:tcBorders>
          </w:tcPr>
          <w:p>
            <w:pPr>
              <w:pStyle w:val="TableParagraph"/>
              <w:spacing w:line="216" w:lineRule="auto" w:before="161"/>
              <w:ind w:left="-136"/>
              <w:rPr>
                <w:sz w:val="24"/>
              </w:rPr>
            </w:pPr>
            <w:r>
              <w:rPr>
                <w:position w:val="-15"/>
                <w:sz w:val="24"/>
              </w:rPr>
              <w:t>、</w:t>
            </w:r>
            <w:r>
              <w:rPr>
                <w:sz w:val="24"/>
              </w:rPr>
              <w:t>010-88657054</w:t>
            </w:r>
          </w:p>
        </w:tc>
        <w:tc>
          <w:tcPr>
            <w:tcW w:w="838" w:type="dxa"/>
            <w:vMerge/>
            <w:tcBorders>
              <w:top w:val="nil"/>
            </w:tcBorders>
          </w:tcPr>
          <w:p>
            <w:pPr>
              <w:rPr>
                <w:sz w:val="2"/>
                <w:szCs w:val="2"/>
              </w:rPr>
            </w:pPr>
          </w:p>
        </w:tc>
      </w:tr>
      <w:tr>
        <w:trPr>
          <w:trHeight w:val="302" w:hRule="atLeast"/>
        </w:trPr>
        <w:tc>
          <w:tcPr>
            <w:tcW w:w="2316" w:type="dxa"/>
            <w:tcBorders>
              <w:top w:val="nil"/>
              <w:bottom w:val="nil"/>
            </w:tcBorders>
          </w:tcPr>
          <w:p>
            <w:pPr>
              <w:pStyle w:val="TableParagraph"/>
              <w:spacing w:line="280" w:lineRule="exact" w:before="2"/>
              <w:ind w:left="178" w:right="168"/>
              <w:jc w:val="center"/>
              <w:rPr>
                <w:sz w:val="24"/>
              </w:rPr>
            </w:pPr>
            <w:r>
              <w:rPr>
                <w:sz w:val="24"/>
              </w:rPr>
              <w:t>工程建设管理局</w:t>
            </w:r>
          </w:p>
        </w:tc>
        <w:tc>
          <w:tcPr>
            <w:tcW w:w="8415" w:type="dxa"/>
            <w:tcBorders>
              <w:top w:val="nil"/>
              <w:bottom w:val="nil"/>
            </w:tcBorders>
          </w:tcPr>
          <w:p>
            <w:pPr>
              <w:pStyle w:val="TableParagraph"/>
              <w:spacing w:line="282" w:lineRule="exact"/>
              <w:ind w:left="13"/>
              <w:rPr>
                <w:sz w:val="24"/>
              </w:rPr>
            </w:pPr>
            <w:r>
              <w:rPr>
                <w:spacing w:val="-5"/>
                <w:sz w:val="24"/>
              </w:rPr>
              <w:t>北京等城市设立了渠首分局、河南分局、河北分局、天津分局、北京分局，各分</w:t>
            </w:r>
          </w:p>
        </w:tc>
        <w:tc>
          <w:tcPr>
            <w:tcW w:w="1711" w:type="dxa"/>
            <w:tcBorders>
              <w:top w:val="nil"/>
              <w:bottom w:val="nil"/>
            </w:tcBorders>
          </w:tcPr>
          <w:p>
            <w:pPr>
              <w:pStyle w:val="TableParagraph"/>
              <w:rPr>
                <w:rFonts w:ascii="Times New Roman"/>
                <w:sz w:val="22"/>
              </w:rPr>
            </w:pPr>
          </w:p>
        </w:tc>
        <w:tc>
          <w:tcPr>
            <w:tcW w:w="838" w:type="dxa"/>
            <w:vMerge/>
            <w:tcBorders>
              <w:top w:val="nil"/>
            </w:tcBorders>
          </w:tcPr>
          <w:p>
            <w:pPr>
              <w:rPr>
                <w:sz w:val="2"/>
                <w:szCs w:val="2"/>
              </w:rPr>
            </w:pPr>
          </w:p>
        </w:tc>
      </w:tr>
      <w:tr>
        <w:trPr>
          <w:trHeight w:val="297" w:hRule="atLeast"/>
        </w:trPr>
        <w:tc>
          <w:tcPr>
            <w:tcW w:w="2316" w:type="dxa"/>
            <w:tcBorders>
              <w:top w:val="nil"/>
              <w:bottom w:val="nil"/>
            </w:tcBorders>
          </w:tcPr>
          <w:p>
            <w:pPr>
              <w:pStyle w:val="TableParagraph"/>
              <w:rPr>
                <w:rFonts w:ascii="Times New Roman"/>
                <w:sz w:val="22"/>
              </w:rPr>
            </w:pPr>
          </w:p>
        </w:tc>
        <w:tc>
          <w:tcPr>
            <w:tcW w:w="8415" w:type="dxa"/>
            <w:tcBorders>
              <w:top w:val="nil"/>
              <w:bottom w:val="nil"/>
            </w:tcBorders>
          </w:tcPr>
          <w:p>
            <w:pPr>
              <w:pStyle w:val="TableParagraph"/>
              <w:spacing w:line="277" w:lineRule="exact"/>
              <w:ind w:left="13"/>
              <w:rPr>
                <w:sz w:val="24"/>
              </w:rPr>
            </w:pPr>
            <w:r>
              <w:rPr>
                <w:spacing w:val="-6"/>
                <w:sz w:val="24"/>
              </w:rPr>
              <w:t>局下属现地管理处共 </w:t>
            </w:r>
            <w:r>
              <w:rPr>
                <w:sz w:val="24"/>
              </w:rPr>
              <w:t>44</w:t>
            </w:r>
            <w:r>
              <w:rPr>
                <w:spacing w:val="-8"/>
                <w:sz w:val="24"/>
              </w:rPr>
              <w:t> 个，分布于中线干线工程沿线县</w:t>
            </w:r>
            <w:r>
              <w:rPr>
                <w:sz w:val="24"/>
              </w:rPr>
              <w:t>（市）。另有中线建管</w:t>
            </w:r>
          </w:p>
        </w:tc>
        <w:tc>
          <w:tcPr>
            <w:tcW w:w="1711" w:type="dxa"/>
            <w:tcBorders>
              <w:top w:val="nil"/>
              <w:bottom w:val="nil"/>
            </w:tcBorders>
          </w:tcPr>
          <w:p>
            <w:pPr>
              <w:pStyle w:val="TableParagraph"/>
              <w:rPr>
                <w:rFonts w:ascii="Times New Roman"/>
                <w:sz w:val="22"/>
              </w:rPr>
            </w:pPr>
          </w:p>
        </w:tc>
        <w:tc>
          <w:tcPr>
            <w:tcW w:w="838" w:type="dxa"/>
            <w:vMerge/>
            <w:tcBorders>
              <w:top w:val="nil"/>
            </w:tcBorders>
          </w:tcPr>
          <w:p>
            <w:pPr>
              <w:rPr>
                <w:sz w:val="2"/>
                <w:szCs w:val="2"/>
              </w:rPr>
            </w:pPr>
          </w:p>
        </w:tc>
      </w:tr>
      <w:tr>
        <w:trPr>
          <w:trHeight w:val="301" w:hRule="atLeast"/>
        </w:trPr>
        <w:tc>
          <w:tcPr>
            <w:tcW w:w="2316" w:type="dxa"/>
            <w:tcBorders>
              <w:top w:val="nil"/>
              <w:bottom w:val="nil"/>
            </w:tcBorders>
          </w:tcPr>
          <w:p>
            <w:pPr>
              <w:pStyle w:val="TableParagraph"/>
              <w:rPr>
                <w:rFonts w:ascii="Times New Roman"/>
                <w:sz w:val="22"/>
              </w:rPr>
            </w:pPr>
          </w:p>
        </w:tc>
        <w:tc>
          <w:tcPr>
            <w:tcW w:w="8415" w:type="dxa"/>
            <w:tcBorders>
              <w:top w:val="nil"/>
              <w:bottom w:val="nil"/>
            </w:tcBorders>
          </w:tcPr>
          <w:p>
            <w:pPr>
              <w:pStyle w:val="TableParagraph"/>
              <w:spacing w:line="282" w:lineRule="exact"/>
              <w:ind w:left="13"/>
              <w:rPr>
                <w:sz w:val="24"/>
              </w:rPr>
            </w:pPr>
            <w:r>
              <w:rPr>
                <w:spacing w:val="-6"/>
                <w:sz w:val="24"/>
              </w:rPr>
              <w:t>局直属保安服务、实业发展、信息科技等 </w:t>
            </w:r>
            <w:r>
              <w:rPr>
                <w:sz w:val="24"/>
              </w:rPr>
              <w:t>3</w:t>
            </w:r>
            <w:r>
              <w:rPr>
                <w:spacing w:val="-9"/>
                <w:sz w:val="24"/>
              </w:rPr>
              <w:t> 个公司，承担运行维护和后续发展任</w:t>
            </w:r>
          </w:p>
        </w:tc>
        <w:tc>
          <w:tcPr>
            <w:tcW w:w="1711" w:type="dxa"/>
            <w:tcBorders>
              <w:top w:val="nil"/>
              <w:bottom w:val="nil"/>
            </w:tcBorders>
          </w:tcPr>
          <w:p>
            <w:pPr>
              <w:pStyle w:val="TableParagraph"/>
              <w:rPr>
                <w:rFonts w:ascii="Times New Roman"/>
                <w:sz w:val="22"/>
              </w:rPr>
            </w:pPr>
          </w:p>
        </w:tc>
        <w:tc>
          <w:tcPr>
            <w:tcW w:w="838" w:type="dxa"/>
            <w:vMerge/>
            <w:tcBorders>
              <w:top w:val="nil"/>
            </w:tcBorders>
          </w:tcPr>
          <w:p>
            <w:pPr>
              <w:rPr>
                <w:sz w:val="2"/>
                <w:szCs w:val="2"/>
              </w:rPr>
            </w:pPr>
          </w:p>
        </w:tc>
      </w:tr>
      <w:tr>
        <w:trPr>
          <w:trHeight w:val="305" w:hRule="atLeast"/>
        </w:trPr>
        <w:tc>
          <w:tcPr>
            <w:tcW w:w="2316" w:type="dxa"/>
            <w:tcBorders>
              <w:top w:val="nil"/>
              <w:bottom w:val="nil"/>
            </w:tcBorders>
          </w:tcPr>
          <w:p>
            <w:pPr>
              <w:pStyle w:val="TableParagraph"/>
              <w:rPr>
                <w:rFonts w:ascii="Times New Roman"/>
                <w:sz w:val="22"/>
              </w:rPr>
            </w:pPr>
          </w:p>
        </w:tc>
        <w:tc>
          <w:tcPr>
            <w:tcW w:w="8415" w:type="dxa"/>
            <w:tcBorders>
              <w:top w:val="nil"/>
            </w:tcBorders>
          </w:tcPr>
          <w:p>
            <w:pPr>
              <w:pStyle w:val="TableParagraph"/>
              <w:spacing w:line="286" w:lineRule="exact"/>
              <w:ind w:left="13"/>
              <w:rPr>
                <w:sz w:val="24"/>
              </w:rPr>
            </w:pPr>
            <w:r>
              <w:rPr>
                <w:sz w:val="24"/>
              </w:rPr>
              <w:t>务。</w:t>
            </w:r>
          </w:p>
        </w:tc>
        <w:tc>
          <w:tcPr>
            <w:tcW w:w="1711" w:type="dxa"/>
            <w:tcBorders>
              <w:top w:val="nil"/>
            </w:tcBorders>
          </w:tcPr>
          <w:p>
            <w:pPr>
              <w:pStyle w:val="TableParagraph"/>
              <w:rPr>
                <w:rFonts w:ascii="Times New Roman"/>
                <w:sz w:val="22"/>
              </w:rPr>
            </w:pPr>
          </w:p>
        </w:tc>
        <w:tc>
          <w:tcPr>
            <w:tcW w:w="838" w:type="dxa"/>
            <w:vMerge/>
            <w:tcBorders>
              <w:top w:val="nil"/>
            </w:tcBorders>
          </w:tcPr>
          <w:p>
            <w:pPr>
              <w:rPr>
                <w:sz w:val="2"/>
                <w:szCs w:val="2"/>
              </w:rPr>
            </w:pPr>
          </w:p>
        </w:tc>
      </w:tr>
      <w:tr>
        <w:trPr>
          <w:trHeight w:val="636" w:hRule="atLeast"/>
        </w:trPr>
        <w:tc>
          <w:tcPr>
            <w:tcW w:w="2316" w:type="dxa"/>
            <w:tcBorders>
              <w:top w:val="nil"/>
            </w:tcBorders>
          </w:tcPr>
          <w:p>
            <w:pPr>
              <w:pStyle w:val="TableParagraph"/>
              <w:rPr>
                <w:rFonts w:ascii="Times New Roman"/>
                <w:sz w:val="24"/>
              </w:rPr>
            </w:pPr>
          </w:p>
        </w:tc>
        <w:tc>
          <w:tcPr>
            <w:tcW w:w="8415" w:type="dxa"/>
          </w:tcPr>
          <w:p>
            <w:pPr>
              <w:pStyle w:val="TableParagraph"/>
              <w:spacing w:before="173"/>
              <w:ind w:left="13"/>
              <w:rPr>
                <w:sz w:val="24"/>
              </w:rPr>
            </w:pPr>
            <w:hyperlink r:id="rId7">
              <w:r>
                <w:rPr>
                  <w:sz w:val="24"/>
                  <w:u w:val="single"/>
                </w:rPr>
                <w:t>http://www.nsbd.cn</w:t>
              </w:r>
            </w:hyperlink>
          </w:p>
        </w:tc>
        <w:tc>
          <w:tcPr>
            <w:tcW w:w="1711" w:type="dxa"/>
          </w:tcPr>
          <w:p>
            <w:pPr>
              <w:pStyle w:val="TableParagraph"/>
              <w:rPr>
                <w:rFonts w:ascii="Times New Roman"/>
                <w:sz w:val="24"/>
              </w:rPr>
            </w:pPr>
          </w:p>
        </w:tc>
        <w:tc>
          <w:tcPr>
            <w:tcW w:w="838" w:type="dxa"/>
          </w:tcPr>
          <w:p>
            <w:pPr>
              <w:pStyle w:val="TableParagraph"/>
              <w:rPr>
                <w:rFonts w:ascii="Times New Roman"/>
                <w:sz w:val="24"/>
              </w:rPr>
            </w:pPr>
          </w:p>
        </w:tc>
      </w:tr>
    </w:tbl>
    <w:p>
      <w:pPr>
        <w:spacing w:after="0"/>
        <w:rPr>
          <w:rFonts w:ascii="Times New Roman"/>
          <w:sz w:val="24"/>
        </w:rPr>
        <w:sectPr>
          <w:pgSz w:w="16840" w:h="11910" w:orient="landscape"/>
          <w:pgMar w:top="1100" w:bottom="280" w:left="520" w:right="500"/>
        </w:sectPr>
      </w:pPr>
    </w:p>
    <w:p>
      <w:pPr>
        <w:pStyle w:val="BodyText"/>
        <w:spacing w:before="7"/>
        <w:ind w:left="0"/>
        <w:rPr>
          <w:rFonts w:ascii="微软雅黑"/>
          <w:b/>
          <w:sz w:val="12"/>
        </w:rPr>
      </w:pPr>
    </w:p>
    <w:p>
      <w:pPr>
        <w:spacing w:after="0"/>
        <w:rPr>
          <w:rFonts w:ascii="微软雅黑"/>
          <w:sz w:val="12"/>
        </w:rPr>
        <w:sectPr>
          <w:pgSz w:w="16840" w:h="11910" w:orient="landscape"/>
          <w:pgMar w:top="1100" w:bottom="280" w:left="520" w:right="500"/>
        </w:sectPr>
      </w:pPr>
    </w:p>
    <w:p>
      <w:pPr>
        <w:spacing w:before="62"/>
        <w:ind w:left="120" w:right="0" w:firstLine="0"/>
        <w:jc w:val="left"/>
        <w:rPr>
          <w:sz w:val="28"/>
        </w:rPr>
      </w:pPr>
      <w:r>
        <w:rPr>
          <w:spacing w:val="-24"/>
          <w:sz w:val="28"/>
        </w:rPr>
        <w:t>附件 </w:t>
      </w:r>
      <w:r>
        <w:rPr>
          <w:sz w:val="28"/>
        </w:rPr>
        <w:t>2：</w:t>
      </w:r>
    </w:p>
    <w:p>
      <w:pPr>
        <w:pStyle w:val="BodyText"/>
        <w:spacing w:before="7"/>
        <w:ind w:left="0"/>
        <w:rPr>
          <w:sz w:val="49"/>
        </w:rPr>
      </w:pPr>
      <w:r>
        <w:rPr/>
        <w:br w:type="column"/>
      </w:r>
      <w:r>
        <w:rPr>
          <w:sz w:val="49"/>
        </w:rPr>
      </w:r>
    </w:p>
    <w:p>
      <w:pPr>
        <w:pStyle w:val="Heading1"/>
      </w:pPr>
      <w:r>
        <w:rPr/>
        <w:t>南水北调中线建管局 2021 年公开招聘工作人员岗位信息</w:t>
      </w:r>
    </w:p>
    <w:p>
      <w:pPr>
        <w:spacing w:after="0"/>
        <w:sectPr>
          <w:type w:val="continuous"/>
          <w:pgSz w:w="16840" w:h="11910" w:orient="landscape"/>
          <w:pgMar w:top="1580" w:bottom="280" w:left="520" w:right="500"/>
          <w:cols w:num="2" w:equalWidth="0">
            <w:col w:w="1213" w:space="2143"/>
            <w:col w:w="12464"/>
          </w:cols>
        </w:sectPr>
      </w:pPr>
    </w:p>
    <w:p>
      <w:pPr>
        <w:pStyle w:val="BodyText"/>
        <w:spacing w:before="3"/>
        <w:ind w:left="0"/>
        <w:rPr>
          <w:rFonts w:ascii="宋体"/>
          <w:b/>
          <w:sz w:val="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1"/>
        <w:gridCol w:w="1246"/>
        <w:gridCol w:w="678"/>
        <w:gridCol w:w="1050"/>
        <w:gridCol w:w="600"/>
        <w:gridCol w:w="1680"/>
        <w:gridCol w:w="645"/>
        <w:gridCol w:w="3060"/>
        <w:gridCol w:w="1020"/>
        <w:gridCol w:w="765"/>
        <w:gridCol w:w="825"/>
        <w:gridCol w:w="2040"/>
        <w:gridCol w:w="1605"/>
      </w:tblGrid>
      <w:tr>
        <w:trPr>
          <w:trHeight w:val="779" w:hRule="atLeast"/>
        </w:trPr>
        <w:tc>
          <w:tcPr>
            <w:tcW w:w="371" w:type="dxa"/>
            <w:vMerge w:val="restart"/>
          </w:tcPr>
          <w:p>
            <w:pPr>
              <w:pStyle w:val="TableParagraph"/>
              <w:rPr>
                <w:b/>
                <w:sz w:val="22"/>
              </w:rPr>
            </w:pPr>
          </w:p>
          <w:p>
            <w:pPr>
              <w:pStyle w:val="TableParagraph"/>
              <w:spacing w:line="266" w:lineRule="auto" w:before="170"/>
              <w:ind w:left="74" w:right="63"/>
              <w:rPr>
                <w:rFonts w:ascii="黑体" w:eastAsia="黑体" w:hint="eastAsia"/>
                <w:b/>
                <w:sz w:val="22"/>
              </w:rPr>
            </w:pPr>
            <w:r>
              <w:rPr>
                <w:rFonts w:ascii="黑体" w:eastAsia="黑体" w:hint="eastAsia"/>
                <w:b/>
                <w:sz w:val="22"/>
              </w:rPr>
              <w:t>序号</w:t>
            </w:r>
          </w:p>
        </w:tc>
        <w:tc>
          <w:tcPr>
            <w:tcW w:w="1246" w:type="dxa"/>
            <w:vMerge w:val="restart"/>
          </w:tcPr>
          <w:p>
            <w:pPr>
              <w:pStyle w:val="TableParagraph"/>
              <w:rPr>
                <w:b/>
                <w:sz w:val="22"/>
              </w:rPr>
            </w:pPr>
          </w:p>
          <w:p>
            <w:pPr>
              <w:pStyle w:val="TableParagraph"/>
              <w:spacing w:before="6"/>
              <w:rPr>
                <w:b/>
                <w:sz w:val="25"/>
              </w:rPr>
            </w:pPr>
          </w:p>
          <w:p>
            <w:pPr>
              <w:pStyle w:val="TableParagraph"/>
              <w:ind w:left="183"/>
              <w:rPr>
                <w:rFonts w:ascii="黑体" w:eastAsia="黑体" w:hint="eastAsia"/>
                <w:b/>
                <w:sz w:val="22"/>
              </w:rPr>
            </w:pPr>
            <w:r>
              <w:rPr>
                <w:rFonts w:ascii="黑体" w:eastAsia="黑体" w:hint="eastAsia"/>
                <w:b/>
                <w:sz w:val="22"/>
              </w:rPr>
              <w:t>单位名称</w:t>
            </w:r>
          </w:p>
        </w:tc>
        <w:tc>
          <w:tcPr>
            <w:tcW w:w="678" w:type="dxa"/>
            <w:vMerge w:val="restart"/>
          </w:tcPr>
          <w:p>
            <w:pPr>
              <w:pStyle w:val="TableParagraph"/>
              <w:rPr>
                <w:b/>
                <w:sz w:val="22"/>
              </w:rPr>
            </w:pPr>
          </w:p>
          <w:p>
            <w:pPr>
              <w:pStyle w:val="TableParagraph"/>
              <w:spacing w:line="266" w:lineRule="auto" w:before="170"/>
              <w:ind w:left="118" w:right="105"/>
              <w:rPr>
                <w:rFonts w:ascii="黑体" w:eastAsia="黑体" w:hint="eastAsia"/>
                <w:b/>
                <w:sz w:val="22"/>
              </w:rPr>
            </w:pPr>
            <w:r>
              <w:rPr>
                <w:rFonts w:ascii="黑体" w:eastAsia="黑体" w:hint="eastAsia"/>
                <w:b/>
                <w:sz w:val="22"/>
              </w:rPr>
              <w:t>岗位代码</w:t>
            </w:r>
          </w:p>
        </w:tc>
        <w:tc>
          <w:tcPr>
            <w:tcW w:w="1050" w:type="dxa"/>
            <w:vMerge w:val="restart"/>
          </w:tcPr>
          <w:p>
            <w:pPr>
              <w:pStyle w:val="TableParagraph"/>
              <w:rPr>
                <w:b/>
                <w:sz w:val="22"/>
              </w:rPr>
            </w:pPr>
          </w:p>
          <w:p>
            <w:pPr>
              <w:pStyle w:val="TableParagraph"/>
              <w:spacing w:line="266" w:lineRule="auto" w:before="170"/>
              <w:ind w:left="304" w:right="291"/>
              <w:rPr>
                <w:rFonts w:ascii="黑体" w:eastAsia="黑体" w:hint="eastAsia"/>
                <w:b/>
                <w:sz w:val="22"/>
              </w:rPr>
            </w:pPr>
            <w:r>
              <w:rPr>
                <w:rFonts w:ascii="黑体" w:eastAsia="黑体" w:hint="eastAsia"/>
                <w:b/>
                <w:sz w:val="22"/>
              </w:rPr>
              <w:t>岗位名称</w:t>
            </w:r>
          </w:p>
        </w:tc>
        <w:tc>
          <w:tcPr>
            <w:tcW w:w="600" w:type="dxa"/>
            <w:vMerge w:val="restart"/>
          </w:tcPr>
          <w:p>
            <w:pPr>
              <w:pStyle w:val="TableParagraph"/>
              <w:rPr>
                <w:b/>
                <w:sz w:val="22"/>
              </w:rPr>
            </w:pPr>
          </w:p>
          <w:p>
            <w:pPr>
              <w:pStyle w:val="TableParagraph"/>
              <w:spacing w:line="266" w:lineRule="auto" w:before="170"/>
              <w:ind w:left="79" w:right="66"/>
              <w:rPr>
                <w:rFonts w:ascii="黑体" w:eastAsia="黑体" w:hint="eastAsia"/>
                <w:b/>
                <w:sz w:val="22"/>
              </w:rPr>
            </w:pPr>
            <w:r>
              <w:rPr>
                <w:rFonts w:ascii="黑体" w:eastAsia="黑体" w:hint="eastAsia"/>
                <w:b/>
                <w:sz w:val="22"/>
              </w:rPr>
              <w:t>岗位类别</w:t>
            </w:r>
          </w:p>
        </w:tc>
        <w:tc>
          <w:tcPr>
            <w:tcW w:w="1680" w:type="dxa"/>
            <w:vMerge w:val="restart"/>
          </w:tcPr>
          <w:p>
            <w:pPr>
              <w:pStyle w:val="TableParagraph"/>
              <w:rPr>
                <w:b/>
                <w:sz w:val="22"/>
              </w:rPr>
            </w:pPr>
          </w:p>
          <w:p>
            <w:pPr>
              <w:pStyle w:val="TableParagraph"/>
              <w:spacing w:line="266" w:lineRule="auto" w:before="170"/>
              <w:ind w:left="619" w:right="606"/>
              <w:jc w:val="center"/>
              <w:rPr>
                <w:rFonts w:ascii="黑体" w:eastAsia="黑体" w:hint="eastAsia"/>
                <w:b/>
                <w:sz w:val="22"/>
              </w:rPr>
            </w:pPr>
            <w:r>
              <w:rPr>
                <w:rFonts w:ascii="黑体" w:eastAsia="黑体" w:hint="eastAsia"/>
                <w:b/>
                <w:sz w:val="22"/>
              </w:rPr>
              <w:t>岗位描述</w:t>
            </w:r>
          </w:p>
        </w:tc>
        <w:tc>
          <w:tcPr>
            <w:tcW w:w="645" w:type="dxa"/>
            <w:vMerge w:val="restart"/>
          </w:tcPr>
          <w:p>
            <w:pPr>
              <w:pStyle w:val="TableParagraph"/>
              <w:rPr>
                <w:b/>
                <w:sz w:val="22"/>
              </w:rPr>
            </w:pPr>
          </w:p>
          <w:p>
            <w:pPr>
              <w:pStyle w:val="TableParagraph"/>
              <w:spacing w:line="266" w:lineRule="auto" w:before="170"/>
              <w:ind w:left="101" w:right="89"/>
              <w:rPr>
                <w:rFonts w:ascii="黑体" w:eastAsia="黑体" w:hint="eastAsia"/>
                <w:b/>
                <w:sz w:val="22"/>
              </w:rPr>
            </w:pPr>
            <w:r>
              <w:rPr>
                <w:rFonts w:ascii="黑体" w:eastAsia="黑体" w:hint="eastAsia"/>
                <w:b/>
                <w:sz w:val="22"/>
              </w:rPr>
              <w:t>招聘人数</w:t>
            </w:r>
          </w:p>
        </w:tc>
        <w:tc>
          <w:tcPr>
            <w:tcW w:w="7710" w:type="dxa"/>
            <w:gridSpan w:val="5"/>
          </w:tcPr>
          <w:p>
            <w:pPr>
              <w:pStyle w:val="TableParagraph"/>
              <w:spacing w:before="1"/>
              <w:rPr>
                <w:b/>
                <w:sz w:val="20"/>
              </w:rPr>
            </w:pPr>
          </w:p>
          <w:p>
            <w:pPr>
              <w:pStyle w:val="TableParagraph"/>
              <w:ind w:left="3175" w:right="3159"/>
              <w:jc w:val="center"/>
              <w:rPr>
                <w:rFonts w:ascii="黑体" w:eastAsia="黑体" w:hint="eastAsia"/>
                <w:b/>
                <w:sz w:val="22"/>
              </w:rPr>
            </w:pPr>
            <w:r>
              <w:rPr>
                <w:rFonts w:ascii="黑体" w:eastAsia="黑体" w:hint="eastAsia"/>
                <w:b/>
                <w:sz w:val="22"/>
              </w:rPr>
              <w:t>应聘人员条件</w:t>
            </w:r>
          </w:p>
        </w:tc>
        <w:tc>
          <w:tcPr>
            <w:tcW w:w="1605" w:type="dxa"/>
            <w:vMerge w:val="restart"/>
          </w:tcPr>
          <w:p>
            <w:pPr>
              <w:pStyle w:val="TableParagraph"/>
              <w:rPr>
                <w:b/>
                <w:sz w:val="22"/>
              </w:rPr>
            </w:pPr>
          </w:p>
          <w:p>
            <w:pPr>
              <w:pStyle w:val="TableParagraph"/>
              <w:spacing w:before="6"/>
              <w:rPr>
                <w:b/>
                <w:sz w:val="25"/>
              </w:rPr>
            </w:pPr>
          </w:p>
          <w:p>
            <w:pPr>
              <w:pStyle w:val="TableParagraph"/>
              <w:ind w:left="560" w:right="552"/>
              <w:jc w:val="center"/>
              <w:rPr>
                <w:rFonts w:ascii="黑体" w:eastAsia="黑体" w:hint="eastAsia"/>
                <w:b/>
                <w:sz w:val="22"/>
              </w:rPr>
            </w:pPr>
            <w:r>
              <w:rPr>
                <w:rFonts w:ascii="黑体" w:eastAsia="黑体" w:hint="eastAsia"/>
                <w:b/>
                <w:sz w:val="22"/>
              </w:rPr>
              <w:t>备注</w:t>
            </w:r>
          </w:p>
        </w:tc>
      </w:tr>
      <w:tr>
        <w:trPr>
          <w:trHeight w:val="690" w:hRule="atLeast"/>
        </w:trPr>
        <w:tc>
          <w:tcPr>
            <w:tcW w:w="371" w:type="dxa"/>
            <w:vMerge/>
            <w:tcBorders>
              <w:top w:val="nil"/>
            </w:tcBorders>
          </w:tcPr>
          <w:p>
            <w:pPr>
              <w:rPr>
                <w:sz w:val="2"/>
                <w:szCs w:val="2"/>
              </w:rPr>
            </w:pPr>
          </w:p>
        </w:tc>
        <w:tc>
          <w:tcPr>
            <w:tcW w:w="1246" w:type="dxa"/>
            <w:vMerge/>
            <w:tcBorders>
              <w:top w:val="nil"/>
            </w:tcBorders>
          </w:tcPr>
          <w:p>
            <w:pPr>
              <w:rPr>
                <w:sz w:val="2"/>
                <w:szCs w:val="2"/>
              </w:rPr>
            </w:pPr>
          </w:p>
        </w:tc>
        <w:tc>
          <w:tcPr>
            <w:tcW w:w="678" w:type="dxa"/>
            <w:vMerge/>
            <w:tcBorders>
              <w:top w:val="nil"/>
            </w:tcBorders>
          </w:tcPr>
          <w:p>
            <w:pPr>
              <w:rPr>
                <w:sz w:val="2"/>
                <w:szCs w:val="2"/>
              </w:rPr>
            </w:pPr>
          </w:p>
        </w:tc>
        <w:tc>
          <w:tcPr>
            <w:tcW w:w="1050" w:type="dxa"/>
            <w:vMerge/>
            <w:tcBorders>
              <w:top w:val="nil"/>
            </w:tcBorders>
          </w:tcPr>
          <w:p>
            <w:pPr>
              <w:rPr>
                <w:sz w:val="2"/>
                <w:szCs w:val="2"/>
              </w:rPr>
            </w:pPr>
          </w:p>
        </w:tc>
        <w:tc>
          <w:tcPr>
            <w:tcW w:w="600" w:type="dxa"/>
            <w:vMerge/>
            <w:tcBorders>
              <w:top w:val="nil"/>
            </w:tcBorders>
          </w:tcPr>
          <w:p>
            <w:pPr>
              <w:rPr>
                <w:sz w:val="2"/>
                <w:szCs w:val="2"/>
              </w:rPr>
            </w:pPr>
          </w:p>
        </w:tc>
        <w:tc>
          <w:tcPr>
            <w:tcW w:w="1680" w:type="dxa"/>
            <w:vMerge/>
            <w:tcBorders>
              <w:top w:val="nil"/>
            </w:tcBorders>
          </w:tcPr>
          <w:p>
            <w:pPr>
              <w:rPr>
                <w:sz w:val="2"/>
                <w:szCs w:val="2"/>
              </w:rPr>
            </w:pPr>
          </w:p>
        </w:tc>
        <w:tc>
          <w:tcPr>
            <w:tcW w:w="645" w:type="dxa"/>
            <w:vMerge/>
            <w:tcBorders>
              <w:top w:val="nil"/>
            </w:tcBorders>
          </w:tcPr>
          <w:p>
            <w:pPr>
              <w:rPr>
                <w:sz w:val="2"/>
                <w:szCs w:val="2"/>
              </w:rPr>
            </w:pPr>
          </w:p>
        </w:tc>
        <w:tc>
          <w:tcPr>
            <w:tcW w:w="3060" w:type="dxa"/>
          </w:tcPr>
          <w:p>
            <w:pPr>
              <w:pStyle w:val="TableParagraph"/>
              <w:spacing w:before="6"/>
              <w:rPr>
                <w:b/>
                <w:sz w:val="16"/>
              </w:rPr>
            </w:pPr>
          </w:p>
          <w:p>
            <w:pPr>
              <w:pStyle w:val="TableParagraph"/>
              <w:ind w:left="1233" w:right="1223"/>
              <w:jc w:val="center"/>
              <w:rPr>
                <w:rFonts w:ascii="黑体" w:eastAsia="黑体" w:hint="eastAsia"/>
                <w:b/>
                <w:sz w:val="22"/>
              </w:rPr>
            </w:pPr>
            <w:r>
              <w:rPr>
                <w:rFonts w:ascii="黑体" w:eastAsia="黑体" w:hint="eastAsia"/>
                <w:b/>
                <w:sz w:val="22"/>
              </w:rPr>
              <w:t>专 业</w:t>
            </w:r>
          </w:p>
        </w:tc>
        <w:tc>
          <w:tcPr>
            <w:tcW w:w="1020" w:type="dxa"/>
          </w:tcPr>
          <w:p>
            <w:pPr>
              <w:pStyle w:val="TableParagraph"/>
              <w:spacing w:before="6"/>
              <w:rPr>
                <w:b/>
                <w:sz w:val="16"/>
              </w:rPr>
            </w:pPr>
          </w:p>
          <w:p>
            <w:pPr>
              <w:pStyle w:val="TableParagraph"/>
              <w:ind w:left="49" w:right="39"/>
              <w:jc w:val="center"/>
              <w:rPr>
                <w:rFonts w:ascii="黑体" w:eastAsia="黑体" w:hint="eastAsia"/>
                <w:b/>
                <w:sz w:val="22"/>
              </w:rPr>
            </w:pPr>
            <w:r>
              <w:rPr>
                <w:rFonts w:ascii="黑体" w:eastAsia="黑体" w:hint="eastAsia"/>
                <w:b/>
                <w:sz w:val="22"/>
              </w:rPr>
              <w:t>学历</w:t>
            </w:r>
          </w:p>
        </w:tc>
        <w:tc>
          <w:tcPr>
            <w:tcW w:w="765" w:type="dxa"/>
          </w:tcPr>
          <w:p>
            <w:pPr>
              <w:pStyle w:val="TableParagraph"/>
              <w:spacing w:line="310" w:lineRule="atLeast" w:before="27"/>
              <w:ind w:left="162" w:right="149"/>
              <w:rPr>
                <w:rFonts w:ascii="黑体" w:eastAsia="黑体" w:hint="eastAsia"/>
                <w:b/>
                <w:sz w:val="22"/>
              </w:rPr>
            </w:pPr>
            <w:r>
              <w:rPr>
                <w:rFonts w:ascii="黑体" w:eastAsia="黑体" w:hint="eastAsia"/>
                <w:b/>
                <w:sz w:val="22"/>
              </w:rPr>
              <w:t>政治面貌</w:t>
            </w:r>
          </w:p>
        </w:tc>
        <w:tc>
          <w:tcPr>
            <w:tcW w:w="825" w:type="dxa"/>
          </w:tcPr>
          <w:p>
            <w:pPr>
              <w:pStyle w:val="TableParagraph"/>
              <w:spacing w:line="310" w:lineRule="atLeast" w:before="27"/>
              <w:ind w:left="191" w:right="179"/>
              <w:rPr>
                <w:rFonts w:ascii="黑体" w:eastAsia="黑体" w:hint="eastAsia"/>
                <w:b/>
                <w:sz w:val="22"/>
              </w:rPr>
            </w:pPr>
            <w:r>
              <w:rPr>
                <w:rFonts w:ascii="黑体" w:eastAsia="黑体" w:hint="eastAsia"/>
                <w:b/>
                <w:sz w:val="22"/>
              </w:rPr>
              <w:t>是否在职</w:t>
            </w:r>
          </w:p>
        </w:tc>
        <w:tc>
          <w:tcPr>
            <w:tcW w:w="2040" w:type="dxa"/>
          </w:tcPr>
          <w:p>
            <w:pPr>
              <w:pStyle w:val="TableParagraph"/>
              <w:spacing w:before="6"/>
              <w:rPr>
                <w:b/>
                <w:sz w:val="16"/>
              </w:rPr>
            </w:pPr>
          </w:p>
          <w:p>
            <w:pPr>
              <w:pStyle w:val="TableParagraph"/>
              <w:ind w:left="723" w:right="713"/>
              <w:jc w:val="center"/>
              <w:rPr>
                <w:rFonts w:ascii="黑体" w:eastAsia="黑体" w:hint="eastAsia"/>
                <w:b/>
                <w:sz w:val="22"/>
              </w:rPr>
            </w:pPr>
            <w:r>
              <w:rPr>
                <w:rFonts w:ascii="黑体" w:eastAsia="黑体" w:hint="eastAsia"/>
                <w:b/>
                <w:sz w:val="22"/>
              </w:rPr>
              <w:t>其 他</w:t>
            </w:r>
          </w:p>
        </w:tc>
        <w:tc>
          <w:tcPr>
            <w:tcW w:w="1605" w:type="dxa"/>
            <w:vMerge/>
            <w:tcBorders>
              <w:top w:val="nil"/>
            </w:tcBorders>
          </w:tcPr>
          <w:p>
            <w:pPr>
              <w:rPr>
                <w:sz w:val="2"/>
                <w:szCs w:val="2"/>
              </w:rPr>
            </w:pPr>
          </w:p>
        </w:tc>
      </w:tr>
      <w:tr>
        <w:trPr>
          <w:trHeight w:val="1055" w:hRule="atLeast"/>
        </w:trPr>
        <w:tc>
          <w:tcPr>
            <w:tcW w:w="371"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2"/>
              <w:rPr>
                <w:b/>
                <w:sz w:val="21"/>
              </w:rPr>
            </w:pPr>
          </w:p>
          <w:p>
            <w:pPr>
              <w:pStyle w:val="TableParagraph"/>
              <w:ind w:left="9"/>
              <w:jc w:val="center"/>
              <w:rPr>
                <w:sz w:val="22"/>
              </w:rPr>
            </w:pPr>
            <w:r>
              <w:rPr>
                <w:w w:val="100"/>
                <w:sz w:val="22"/>
              </w:rPr>
              <w:t>1</w:t>
            </w:r>
          </w:p>
        </w:tc>
        <w:tc>
          <w:tcPr>
            <w:tcW w:w="1246" w:type="dxa"/>
            <w:vMerge w:val="restart"/>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10"/>
              <w:rPr>
                <w:b/>
                <w:sz w:val="18"/>
              </w:rPr>
            </w:pPr>
          </w:p>
          <w:p>
            <w:pPr>
              <w:pStyle w:val="TableParagraph"/>
              <w:spacing w:line="266" w:lineRule="auto"/>
              <w:ind w:left="183" w:right="59" w:hanging="111"/>
              <w:rPr>
                <w:sz w:val="22"/>
              </w:rPr>
            </w:pPr>
            <w:r>
              <w:rPr>
                <w:spacing w:val="-5"/>
                <w:sz w:val="22"/>
              </w:rPr>
              <w:t>南水北调中</w:t>
            </w:r>
            <w:r>
              <w:rPr>
                <w:spacing w:val="-2"/>
                <w:sz w:val="22"/>
              </w:rPr>
              <w:t>线建管局</w:t>
            </w:r>
          </w:p>
          <w:p>
            <w:pPr>
              <w:pStyle w:val="TableParagraph"/>
              <w:spacing w:line="280" w:lineRule="exact"/>
              <w:ind w:left="209"/>
              <w:rPr>
                <w:sz w:val="22"/>
              </w:rPr>
            </w:pPr>
            <w:r>
              <w:rPr>
                <w:sz w:val="22"/>
              </w:rPr>
              <w:t>（9</w:t>
            </w:r>
            <w:r>
              <w:rPr>
                <w:spacing w:val="-29"/>
                <w:sz w:val="22"/>
              </w:rPr>
              <w:t> 人</w:t>
            </w:r>
            <w:r>
              <w:rPr>
                <w:sz w:val="22"/>
              </w:rPr>
              <w:t>）</w:t>
            </w:r>
          </w:p>
        </w:tc>
        <w:tc>
          <w:tcPr>
            <w:tcW w:w="678" w:type="dxa"/>
          </w:tcPr>
          <w:p>
            <w:pPr>
              <w:pStyle w:val="TableParagraph"/>
              <w:spacing w:before="10"/>
              <w:rPr>
                <w:b/>
                <w:sz w:val="30"/>
              </w:rPr>
            </w:pPr>
          </w:p>
          <w:p>
            <w:pPr>
              <w:pStyle w:val="TableParagraph"/>
              <w:ind w:left="15"/>
              <w:rPr>
                <w:sz w:val="22"/>
              </w:rPr>
            </w:pPr>
            <w:r>
              <w:rPr>
                <w:sz w:val="22"/>
              </w:rPr>
              <w:t>1501</w:t>
            </w:r>
          </w:p>
        </w:tc>
        <w:tc>
          <w:tcPr>
            <w:tcW w:w="1050" w:type="dxa"/>
          </w:tcPr>
          <w:p>
            <w:pPr>
              <w:pStyle w:val="TableParagraph"/>
              <w:spacing w:before="10"/>
              <w:rPr>
                <w:b/>
                <w:sz w:val="30"/>
              </w:rPr>
            </w:pPr>
          </w:p>
          <w:p>
            <w:pPr>
              <w:pStyle w:val="TableParagraph"/>
              <w:ind w:left="64" w:right="56"/>
              <w:jc w:val="center"/>
              <w:rPr>
                <w:sz w:val="22"/>
              </w:rPr>
            </w:pPr>
            <w:r>
              <w:rPr>
                <w:sz w:val="22"/>
              </w:rPr>
              <w:t>运行调度</w:t>
            </w:r>
          </w:p>
        </w:tc>
        <w:tc>
          <w:tcPr>
            <w:tcW w:w="600" w:type="dxa"/>
          </w:tcPr>
          <w:p>
            <w:pPr>
              <w:pStyle w:val="TableParagraph"/>
              <w:spacing w:before="8"/>
              <w:rPr>
                <w:b/>
                <w:sz w:val="18"/>
              </w:rPr>
            </w:pPr>
          </w:p>
          <w:p>
            <w:pPr>
              <w:pStyle w:val="TableParagraph"/>
              <w:spacing w:line="266" w:lineRule="auto"/>
              <w:ind w:left="79" w:right="66"/>
              <w:rPr>
                <w:sz w:val="22"/>
              </w:rPr>
            </w:pPr>
            <w:r>
              <w:rPr>
                <w:sz w:val="22"/>
              </w:rPr>
              <w:t>专业技术</w:t>
            </w:r>
          </w:p>
        </w:tc>
        <w:tc>
          <w:tcPr>
            <w:tcW w:w="1680" w:type="dxa"/>
          </w:tcPr>
          <w:p>
            <w:pPr>
              <w:pStyle w:val="TableParagraph"/>
              <w:spacing w:before="8"/>
              <w:rPr>
                <w:b/>
                <w:sz w:val="18"/>
              </w:rPr>
            </w:pPr>
          </w:p>
          <w:p>
            <w:pPr>
              <w:pStyle w:val="TableParagraph"/>
              <w:spacing w:line="266" w:lineRule="auto"/>
              <w:ind w:left="15" w:right="111"/>
              <w:rPr>
                <w:sz w:val="22"/>
              </w:rPr>
            </w:pPr>
            <w:r>
              <w:rPr>
                <w:sz w:val="22"/>
              </w:rPr>
              <w:t>输水调度运行管理等</w:t>
            </w:r>
          </w:p>
        </w:tc>
        <w:tc>
          <w:tcPr>
            <w:tcW w:w="645" w:type="dxa"/>
          </w:tcPr>
          <w:p>
            <w:pPr>
              <w:pStyle w:val="TableParagraph"/>
              <w:spacing w:before="10"/>
              <w:rPr>
                <w:b/>
                <w:sz w:val="30"/>
              </w:rPr>
            </w:pPr>
          </w:p>
          <w:p>
            <w:pPr>
              <w:pStyle w:val="TableParagraph"/>
              <w:ind w:left="9"/>
              <w:jc w:val="center"/>
              <w:rPr>
                <w:sz w:val="22"/>
              </w:rPr>
            </w:pPr>
            <w:r>
              <w:rPr>
                <w:w w:val="100"/>
                <w:sz w:val="22"/>
              </w:rPr>
              <w:t>1</w:t>
            </w:r>
          </w:p>
        </w:tc>
        <w:tc>
          <w:tcPr>
            <w:tcW w:w="3060" w:type="dxa"/>
          </w:tcPr>
          <w:p>
            <w:pPr>
              <w:pStyle w:val="TableParagraph"/>
              <w:spacing w:before="8"/>
              <w:rPr>
                <w:b/>
                <w:sz w:val="18"/>
              </w:rPr>
            </w:pPr>
          </w:p>
          <w:p>
            <w:pPr>
              <w:pStyle w:val="TableParagraph"/>
              <w:spacing w:line="266" w:lineRule="auto"/>
              <w:ind w:left="15" w:right="281"/>
              <w:rPr>
                <w:sz w:val="22"/>
              </w:rPr>
            </w:pPr>
            <w:r>
              <w:rPr>
                <w:sz w:val="22"/>
              </w:rPr>
              <w:t>水利类,土木类,建筑类,电气类,安全科学与工程类</w:t>
            </w:r>
          </w:p>
        </w:tc>
        <w:tc>
          <w:tcPr>
            <w:tcW w:w="1020" w:type="dxa"/>
          </w:tcPr>
          <w:p>
            <w:pPr>
              <w:pStyle w:val="TableParagraph"/>
              <w:spacing w:before="10"/>
              <w:rPr>
                <w:b/>
                <w:sz w:val="30"/>
              </w:rPr>
            </w:pPr>
          </w:p>
          <w:p>
            <w:pPr>
              <w:pStyle w:val="TableParagraph"/>
              <w:ind w:left="49" w:right="41"/>
              <w:jc w:val="center"/>
              <w:rPr>
                <w:sz w:val="22"/>
              </w:rPr>
            </w:pPr>
            <w:r>
              <w:rPr>
                <w:sz w:val="22"/>
              </w:rPr>
              <w:t>大学本科</w:t>
            </w:r>
          </w:p>
        </w:tc>
        <w:tc>
          <w:tcPr>
            <w:tcW w:w="765" w:type="dxa"/>
          </w:tcPr>
          <w:p>
            <w:pPr>
              <w:pStyle w:val="TableParagraph"/>
              <w:spacing w:before="10"/>
              <w:rPr>
                <w:b/>
                <w:sz w:val="30"/>
              </w:rPr>
            </w:pPr>
          </w:p>
          <w:p>
            <w:pPr>
              <w:pStyle w:val="TableParagraph"/>
              <w:ind w:left="143" w:right="132"/>
              <w:jc w:val="center"/>
              <w:rPr>
                <w:sz w:val="22"/>
              </w:rPr>
            </w:pPr>
            <w:r>
              <w:rPr>
                <w:sz w:val="22"/>
              </w:rPr>
              <w:t>不限</w:t>
            </w:r>
          </w:p>
        </w:tc>
        <w:tc>
          <w:tcPr>
            <w:tcW w:w="825" w:type="dxa"/>
          </w:tcPr>
          <w:p>
            <w:pPr>
              <w:pStyle w:val="TableParagraph"/>
              <w:spacing w:before="10"/>
              <w:rPr>
                <w:b/>
                <w:sz w:val="30"/>
              </w:rPr>
            </w:pPr>
          </w:p>
          <w:p>
            <w:pPr>
              <w:pStyle w:val="TableParagraph"/>
              <w:ind w:left="172" w:right="163"/>
              <w:jc w:val="center"/>
              <w:rPr>
                <w:sz w:val="22"/>
              </w:rPr>
            </w:pPr>
            <w:r>
              <w:rPr>
                <w:sz w:val="22"/>
              </w:rPr>
              <w:t>应届</w:t>
            </w:r>
          </w:p>
        </w:tc>
        <w:tc>
          <w:tcPr>
            <w:tcW w:w="2040" w:type="dxa"/>
          </w:tcPr>
          <w:p>
            <w:pPr>
              <w:pStyle w:val="TableParagraph"/>
              <w:spacing w:before="8"/>
              <w:rPr>
                <w:b/>
                <w:sz w:val="18"/>
              </w:rPr>
            </w:pPr>
          </w:p>
          <w:p>
            <w:pPr>
              <w:pStyle w:val="TableParagraph"/>
              <w:spacing w:line="266" w:lineRule="auto"/>
              <w:ind w:left="14" w:right="33"/>
              <w:rPr>
                <w:sz w:val="22"/>
              </w:rPr>
            </w:pPr>
            <w:r>
              <w:rPr>
                <w:sz w:val="22"/>
              </w:rPr>
              <w:t>京内生源，具有北京市常住户口</w:t>
            </w:r>
          </w:p>
        </w:tc>
        <w:tc>
          <w:tcPr>
            <w:tcW w:w="1605" w:type="dxa"/>
          </w:tcPr>
          <w:p>
            <w:pPr>
              <w:pStyle w:val="TableParagraph"/>
              <w:spacing w:before="8"/>
              <w:rPr>
                <w:b/>
                <w:sz w:val="18"/>
              </w:rPr>
            </w:pPr>
          </w:p>
          <w:p>
            <w:pPr>
              <w:pStyle w:val="TableParagraph"/>
              <w:spacing w:line="266" w:lineRule="auto"/>
              <w:ind w:left="14" w:right="37"/>
              <w:rPr>
                <w:sz w:val="22"/>
              </w:rPr>
            </w:pPr>
            <w:r>
              <w:rPr>
                <w:sz w:val="22"/>
              </w:rPr>
              <w:t>到我局在京直属单位工作</w:t>
            </w:r>
          </w:p>
        </w:tc>
      </w:tr>
      <w:tr>
        <w:trPr>
          <w:trHeight w:val="1055" w:hRule="atLeast"/>
        </w:trPr>
        <w:tc>
          <w:tcPr>
            <w:tcW w:w="371" w:type="dxa"/>
            <w:vMerge/>
            <w:tcBorders>
              <w:top w:val="nil"/>
            </w:tcBorders>
          </w:tcPr>
          <w:p>
            <w:pPr>
              <w:rPr>
                <w:sz w:val="2"/>
                <w:szCs w:val="2"/>
              </w:rPr>
            </w:pPr>
          </w:p>
        </w:tc>
        <w:tc>
          <w:tcPr>
            <w:tcW w:w="1246" w:type="dxa"/>
            <w:vMerge/>
            <w:tcBorders>
              <w:top w:val="nil"/>
            </w:tcBorders>
          </w:tcPr>
          <w:p>
            <w:pPr>
              <w:rPr>
                <w:sz w:val="2"/>
                <w:szCs w:val="2"/>
              </w:rPr>
            </w:pPr>
          </w:p>
        </w:tc>
        <w:tc>
          <w:tcPr>
            <w:tcW w:w="678" w:type="dxa"/>
          </w:tcPr>
          <w:p>
            <w:pPr>
              <w:pStyle w:val="TableParagraph"/>
              <w:spacing w:before="11"/>
              <w:rPr>
                <w:b/>
                <w:sz w:val="30"/>
              </w:rPr>
            </w:pPr>
          </w:p>
          <w:p>
            <w:pPr>
              <w:pStyle w:val="TableParagraph"/>
              <w:ind w:left="15"/>
              <w:rPr>
                <w:sz w:val="22"/>
              </w:rPr>
            </w:pPr>
            <w:r>
              <w:rPr>
                <w:sz w:val="22"/>
              </w:rPr>
              <w:t>1502</w:t>
            </w:r>
          </w:p>
        </w:tc>
        <w:tc>
          <w:tcPr>
            <w:tcW w:w="1050" w:type="dxa"/>
          </w:tcPr>
          <w:p>
            <w:pPr>
              <w:pStyle w:val="TableParagraph"/>
              <w:spacing w:before="8"/>
              <w:rPr>
                <w:b/>
                <w:sz w:val="18"/>
              </w:rPr>
            </w:pPr>
          </w:p>
          <w:p>
            <w:pPr>
              <w:pStyle w:val="TableParagraph"/>
              <w:spacing w:line="266" w:lineRule="auto" w:before="1"/>
              <w:ind w:left="414" w:right="73" w:hanging="332"/>
              <w:rPr>
                <w:sz w:val="22"/>
              </w:rPr>
            </w:pPr>
            <w:r>
              <w:rPr>
                <w:sz w:val="22"/>
              </w:rPr>
              <w:t>水环境保护</w:t>
            </w:r>
          </w:p>
        </w:tc>
        <w:tc>
          <w:tcPr>
            <w:tcW w:w="600" w:type="dxa"/>
          </w:tcPr>
          <w:p>
            <w:pPr>
              <w:pStyle w:val="TableParagraph"/>
              <w:spacing w:before="8"/>
              <w:rPr>
                <w:b/>
                <w:sz w:val="18"/>
              </w:rPr>
            </w:pPr>
          </w:p>
          <w:p>
            <w:pPr>
              <w:pStyle w:val="TableParagraph"/>
              <w:spacing w:line="266" w:lineRule="auto" w:before="1"/>
              <w:ind w:left="79" w:right="66"/>
              <w:rPr>
                <w:sz w:val="22"/>
              </w:rPr>
            </w:pPr>
            <w:r>
              <w:rPr>
                <w:sz w:val="22"/>
              </w:rPr>
              <w:t>专业技术</w:t>
            </w:r>
          </w:p>
        </w:tc>
        <w:tc>
          <w:tcPr>
            <w:tcW w:w="1680" w:type="dxa"/>
          </w:tcPr>
          <w:p>
            <w:pPr>
              <w:pStyle w:val="TableParagraph"/>
              <w:spacing w:line="266" w:lineRule="auto" w:before="83"/>
              <w:ind w:left="15" w:right="1"/>
              <w:rPr>
                <w:sz w:val="22"/>
              </w:rPr>
            </w:pPr>
            <w:r>
              <w:rPr>
                <w:spacing w:val="-3"/>
                <w:sz w:val="22"/>
              </w:rPr>
              <w:t>水质监测及检测</w:t>
            </w:r>
            <w:r>
              <w:rPr>
                <w:spacing w:val="-19"/>
                <w:sz w:val="22"/>
              </w:rPr>
              <w:t>水质保护管理、水</w:t>
            </w:r>
            <w:r>
              <w:rPr>
                <w:spacing w:val="-2"/>
                <w:sz w:val="22"/>
              </w:rPr>
              <w:t>环境管理等</w:t>
            </w:r>
          </w:p>
        </w:tc>
        <w:tc>
          <w:tcPr>
            <w:tcW w:w="645" w:type="dxa"/>
          </w:tcPr>
          <w:p>
            <w:pPr>
              <w:pStyle w:val="TableParagraph"/>
              <w:spacing w:before="83"/>
              <w:ind w:left="-127" w:right="538"/>
              <w:jc w:val="center"/>
              <w:rPr>
                <w:sz w:val="22"/>
              </w:rPr>
            </w:pPr>
            <w:r>
              <w:rPr>
                <w:w w:val="100"/>
                <w:sz w:val="22"/>
              </w:rPr>
              <w:t>、</w:t>
            </w:r>
          </w:p>
          <w:p>
            <w:pPr>
              <w:pStyle w:val="TableParagraph"/>
              <w:spacing w:before="30"/>
              <w:ind w:left="9"/>
              <w:jc w:val="center"/>
              <w:rPr>
                <w:sz w:val="22"/>
              </w:rPr>
            </w:pPr>
            <w:r>
              <w:rPr>
                <w:w w:val="100"/>
                <w:sz w:val="22"/>
              </w:rPr>
              <w:t>1</w:t>
            </w:r>
          </w:p>
        </w:tc>
        <w:tc>
          <w:tcPr>
            <w:tcW w:w="3060" w:type="dxa"/>
          </w:tcPr>
          <w:p>
            <w:pPr>
              <w:pStyle w:val="TableParagraph"/>
              <w:spacing w:line="266" w:lineRule="auto" w:before="83"/>
              <w:ind w:left="15" w:right="171"/>
              <w:rPr>
                <w:sz w:val="22"/>
              </w:rPr>
            </w:pPr>
            <w:r>
              <w:rPr>
                <w:sz w:val="22"/>
              </w:rPr>
              <w:t>环境科学与工程类,生物科学类,自然保护与环境生态类,海洋科学类</w:t>
            </w:r>
          </w:p>
        </w:tc>
        <w:tc>
          <w:tcPr>
            <w:tcW w:w="1020" w:type="dxa"/>
          </w:tcPr>
          <w:p>
            <w:pPr>
              <w:pStyle w:val="TableParagraph"/>
              <w:spacing w:before="11"/>
              <w:rPr>
                <w:b/>
                <w:sz w:val="30"/>
              </w:rPr>
            </w:pPr>
          </w:p>
          <w:p>
            <w:pPr>
              <w:pStyle w:val="TableParagraph"/>
              <w:ind w:left="49" w:right="41"/>
              <w:jc w:val="center"/>
              <w:rPr>
                <w:sz w:val="22"/>
              </w:rPr>
            </w:pPr>
            <w:r>
              <w:rPr>
                <w:sz w:val="22"/>
              </w:rPr>
              <w:t>大学本科</w:t>
            </w:r>
          </w:p>
        </w:tc>
        <w:tc>
          <w:tcPr>
            <w:tcW w:w="765" w:type="dxa"/>
          </w:tcPr>
          <w:p>
            <w:pPr>
              <w:pStyle w:val="TableParagraph"/>
              <w:spacing w:before="11"/>
              <w:rPr>
                <w:b/>
                <w:sz w:val="30"/>
              </w:rPr>
            </w:pPr>
          </w:p>
          <w:p>
            <w:pPr>
              <w:pStyle w:val="TableParagraph"/>
              <w:ind w:left="143" w:right="132"/>
              <w:jc w:val="center"/>
              <w:rPr>
                <w:sz w:val="22"/>
              </w:rPr>
            </w:pPr>
            <w:r>
              <w:rPr>
                <w:sz w:val="22"/>
              </w:rPr>
              <w:t>不限</w:t>
            </w:r>
          </w:p>
        </w:tc>
        <w:tc>
          <w:tcPr>
            <w:tcW w:w="825" w:type="dxa"/>
          </w:tcPr>
          <w:p>
            <w:pPr>
              <w:pStyle w:val="TableParagraph"/>
              <w:spacing w:before="11"/>
              <w:rPr>
                <w:b/>
                <w:sz w:val="30"/>
              </w:rPr>
            </w:pPr>
          </w:p>
          <w:p>
            <w:pPr>
              <w:pStyle w:val="TableParagraph"/>
              <w:ind w:left="172" w:right="163"/>
              <w:jc w:val="center"/>
              <w:rPr>
                <w:sz w:val="22"/>
              </w:rPr>
            </w:pPr>
            <w:r>
              <w:rPr>
                <w:sz w:val="22"/>
              </w:rPr>
              <w:t>应届</w:t>
            </w:r>
          </w:p>
        </w:tc>
        <w:tc>
          <w:tcPr>
            <w:tcW w:w="2040" w:type="dxa"/>
          </w:tcPr>
          <w:p>
            <w:pPr>
              <w:pStyle w:val="TableParagraph"/>
              <w:spacing w:before="8"/>
              <w:rPr>
                <w:b/>
                <w:sz w:val="18"/>
              </w:rPr>
            </w:pPr>
          </w:p>
          <w:p>
            <w:pPr>
              <w:pStyle w:val="TableParagraph"/>
              <w:spacing w:line="266" w:lineRule="auto" w:before="1"/>
              <w:ind w:left="14" w:right="33"/>
              <w:rPr>
                <w:sz w:val="22"/>
              </w:rPr>
            </w:pPr>
            <w:r>
              <w:rPr>
                <w:sz w:val="22"/>
              </w:rPr>
              <w:t>京内生源，具有北京市常住户口</w:t>
            </w:r>
          </w:p>
        </w:tc>
        <w:tc>
          <w:tcPr>
            <w:tcW w:w="1605" w:type="dxa"/>
          </w:tcPr>
          <w:p>
            <w:pPr>
              <w:pStyle w:val="TableParagraph"/>
              <w:rPr>
                <w:rFonts w:ascii="Times New Roman"/>
                <w:sz w:val="22"/>
              </w:rPr>
            </w:pPr>
          </w:p>
        </w:tc>
      </w:tr>
      <w:tr>
        <w:trPr>
          <w:trHeight w:val="1055" w:hRule="atLeast"/>
        </w:trPr>
        <w:tc>
          <w:tcPr>
            <w:tcW w:w="371" w:type="dxa"/>
            <w:vMerge/>
            <w:tcBorders>
              <w:top w:val="nil"/>
            </w:tcBorders>
          </w:tcPr>
          <w:p>
            <w:pPr>
              <w:rPr>
                <w:sz w:val="2"/>
                <w:szCs w:val="2"/>
              </w:rPr>
            </w:pPr>
          </w:p>
        </w:tc>
        <w:tc>
          <w:tcPr>
            <w:tcW w:w="1246" w:type="dxa"/>
            <w:vMerge/>
            <w:tcBorders>
              <w:top w:val="nil"/>
            </w:tcBorders>
          </w:tcPr>
          <w:p>
            <w:pPr>
              <w:rPr>
                <w:sz w:val="2"/>
                <w:szCs w:val="2"/>
              </w:rPr>
            </w:pPr>
          </w:p>
        </w:tc>
        <w:tc>
          <w:tcPr>
            <w:tcW w:w="678" w:type="dxa"/>
          </w:tcPr>
          <w:p>
            <w:pPr>
              <w:pStyle w:val="TableParagraph"/>
              <w:spacing w:before="11"/>
              <w:rPr>
                <w:b/>
                <w:sz w:val="30"/>
              </w:rPr>
            </w:pPr>
          </w:p>
          <w:p>
            <w:pPr>
              <w:pStyle w:val="TableParagraph"/>
              <w:spacing w:before="1"/>
              <w:ind w:left="15"/>
              <w:rPr>
                <w:sz w:val="22"/>
              </w:rPr>
            </w:pPr>
            <w:r>
              <w:rPr>
                <w:sz w:val="22"/>
              </w:rPr>
              <w:t>1503</w:t>
            </w:r>
          </w:p>
        </w:tc>
        <w:tc>
          <w:tcPr>
            <w:tcW w:w="1050" w:type="dxa"/>
          </w:tcPr>
          <w:p>
            <w:pPr>
              <w:pStyle w:val="TableParagraph"/>
              <w:spacing w:before="11"/>
              <w:rPr>
                <w:b/>
                <w:sz w:val="30"/>
              </w:rPr>
            </w:pPr>
          </w:p>
          <w:p>
            <w:pPr>
              <w:pStyle w:val="TableParagraph"/>
              <w:spacing w:before="1"/>
              <w:ind w:left="64" w:right="56"/>
              <w:jc w:val="center"/>
              <w:rPr>
                <w:sz w:val="22"/>
              </w:rPr>
            </w:pPr>
            <w:r>
              <w:rPr>
                <w:sz w:val="22"/>
              </w:rPr>
              <w:t>运行调度</w:t>
            </w:r>
          </w:p>
        </w:tc>
        <w:tc>
          <w:tcPr>
            <w:tcW w:w="600" w:type="dxa"/>
          </w:tcPr>
          <w:p>
            <w:pPr>
              <w:pStyle w:val="TableParagraph"/>
              <w:spacing w:before="9"/>
              <w:rPr>
                <w:b/>
                <w:sz w:val="18"/>
              </w:rPr>
            </w:pPr>
          </w:p>
          <w:p>
            <w:pPr>
              <w:pStyle w:val="TableParagraph"/>
              <w:spacing w:line="266" w:lineRule="auto"/>
              <w:ind w:left="79" w:right="66"/>
              <w:rPr>
                <w:sz w:val="22"/>
              </w:rPr>
            </w:pPr>
            <w:r>
              <w:rPr>
                <w:sz w:val="22"/>
              </w:rPr>
              <w:t>专业技术</w:t>
            </w:r>
          </w:p>
        </w:tc>
        <w:tc>
          <w:tcPr>
            <w:tcW w:w="1680" w:type="dxa"/>
          </w:tcPr>
          <w:p>
            <w:pPr>
              <w:pStyle w:val="TableParagraph"/>
              <w:spacing w:line="266" w:lineRule="auto" w:before="84"/>
              <w:ind w:left="15" w:right="1"/>
              <w:jc w:val="both"/>
              <w:rPr>
                <w:sz w:val="22"/>
              </w:rPr>
            </w:pPr>
            <w:r>
              <w:rPr>
                <w:spacing w:val="-19"/>
                <w:sz w:val="22"/>
              </w:rPr>
              <w:t>供水计划管理、输</w:t>
            </w:r>
            <w:r>
              <w:rPr>
                <w:spacing w:val="-18"/>
                <w:sz w:val="22"/>
              </w:rPr>
              <w:t>水调度、应急调度</w:t>
            </w:r>
            <w:r>
              <w:rPr>
                <w:spacing w:val="-2"/>
                <w:sz w:val="22"/>
              </w:rPr>
              <w:t>管理等</w:t>
            </w:r>
          </w:p>
        </w:tc>
        <w:tc>
          <w:tcPr>
            <w:tcW w:w="645" w:type="dxa"/>
          </w:tcPr>
          <w:p>
            <w:pPr>
              <w:pStyle w:val="TableParagraph"/>
              <w:spacing w:before="11"/>
              <w:rPr>
                <w:b/>
                <w:sz w:val="30"/>
              </w:rPr>
            </w:pPr>
          </w:p>
          <w:p>
            <w:pPr>
              <w:pStyle w:val="TableParagraph"/>
              <w:spacing w:before="1"/>
              <w:ind w:left="9"/>
              <w:jc w:val="center"/>
              <w:rPr>
                <w:sz w:val="22"/>
              </w:rPr>
            </w:pPr>
            <w:r>
              <w:rPr>
                <w:w w:val="100"/>
                <w:sz w:val="22"/>
              </w:rPr>
              <w:t>3</w:t>
            </w:r>
          </w:p>
        </w:tc>
        <w:tc>
          <w:tcPr>
            <w:tcW w:w="3060" w:type="dxa"/>
          </w:tcPr>
          <w:p>
            <w:pPr>
              <w:pStyle w:val="TableParagraph"/>
              <w:spacing w:before="9"/>
              <w:rPr>
                <w:b/>
                <w:sz w:val="18"/>
              </w:rPr>
            </w:pPr>
          </w:p>
          <w:p>
            <w:pPr>
              <w:pStyle w:val="TableParagraph"/>
              <w:spacing w:line="266" w:lineRule="auto"/>
              <w:ind w:left="15" w:right="63"/>
              <w:rPr>
                <w:sz w:val="22"/>
              </w:rPr>
            </w:pPr>
            <w:r>
              <w:rPr>
                <w:sz w:val="22"/>
              </w:rPr>
              <w:t>水利类,计算机类,电子信息类, 机械类,自动化类</w:t>
            </w:r>
          </w:p>
        </w:tc>
        <w:tc>
          <w:tcPr>
            <w:tcW w:w="1020" w:type="dxa"/>
          </w:tcPr>
          <w:p>
            <w:pPr>
              <w:pStyle w:val="TableParagraph"/>
              <w:spacing w:before="9"/>
              <w:rPr>
                <w:b/>
                <w:sz w:val="18"/>
              </w:rPr>
            </w:pPr>
          </w:p>
          <w:p>
            <w:pPr>
              <w:pStyle w:val="TableParagraph"/>
              <w:spacing w:line="266" w:lineRule="auto"/>
              <w:ind w:left="68" w:right="58"/>
              <w:rPr>
                <w:sz w:val="22"/>
              </w:rPr>
            </w:pPr>
            <w:r>
              <w:rPr>
                <w:sz w:val="22"/>
              </w:rPr>
              <w:t>硕士研究生及以上</w:t>
            </w:r>
          </w:p>
        </w:tc>
        <w:tc>
          <w:tcPr>
            <w:tcW w:w="765" w:type="dxa"/>
          </w:tcPr>
          <w:p>
            <w:pPr>
              <w:pStyle w:val="TableParagraph"/>
              <w:spacing w:before="11"/>
              <w:rPr>
                <w:b/>
                <w:sz w:val="30"/>
              </w:rPr>
            </w:pPr>
          </w:p>
          <w:p>
            <w:pPr>
              <w:pStyle w:val="TableParagraph"/>
              <w:spacing w:before="1"/>
              <w:ind w:left="143" w:right="132"/>
              <w:jc w:val="center"/>
              <w:rPr>
                <w:sz w:val="22"/>
              </w:rPr>
            </w:pPr>
            <w:r>
              <w:rPr>
                <w:sz w:val="22"/>
              </w:rPr>
              <w:t>不限</w:t>
            </w:r>
          </w:p>
        </w:tc>
        <w:tc>
          <w:tcPr>
            <w:tcW w:w="825" w:type="dxa"/>
          </w:tcPr>
          <w:p>
            <w:pPr>
              <w:pStyle w:val="TableParagraph"/>
              <w:spacing w:before="11"/>
              <w:rPr>
                <w:b/>
                <w:sz w:val="30"/>
              </w:rPr>
            </w:pPr>
          </w:p>
          <w:p>
            <w:pPr>
              <w:pStyle w:val="TableParagraph"/>
              <w:spacing w:before="1"/>
              <w:ind w:left="172" w:right="163"/>
              <w:jc w:val="center"/>
              <w:rPr>
                <w:sz w:val="22"/>
              </w:rPr>
            </w:pPr>
            <w:r>
              <w:rPr>
                <w:sz w:val="22"/>
              </w:rPr>
              <w:t>应届</w:t>
            </w:r>
          </w:p>
        </w:tc>
        <w:tc>
          <w:tcPr>
            <w:tcW w:w="2040" w:type="dxa"/>
          </w:tcPr>
          <w:p>
            <w:pPr>
              <w:pStyle w:val="TableParagraph"/>
              <w:spacing w:before="9"/>
              <w:rPr>
                <w:b/>
                <w:sz w:val="18"/>
              </w:rPr>
            </w:pPr>
          </w:p>
          <w:p>
            <w:pPr>
              <w:pStyle w:val="TableParagraph"/>
              <w:spacing w:line="266" w:lineRule="auto"/>
              <w:ind w:left="14" w:right="33"/>
              <w:rPr>
                <w:sz w:val="22"/>
              </w:rPr>
            </w:pPr>
            <w:r>
              <w:rPr>
                <w:sz w:val="22"/>
              </w:rPr>
              <w:t>京内生源，具有北京市常住户口</w:t>
            </w:r>
          </w:p>
        </w:tc>
        <w:tc>
          <w:tcPr>
            <w:tcW w:w="1605" w:type="dxa"/>
          </w:tcPr>
          <w:p>
            <w:pPr>
              <w:pStyle w:val="TableParagraph"/>
              <w:rPr>
                <w:rFonts w:ascii="Times New Roman"/>
                <w:sz w:val="22"/>
              </w:rPr>
            </w:pPr>
          </w:p>
        </w:tc>
      </w:tr>
      <w:tr>
        <w:trPr>
          <w:trHeight w:val="1055" w:hRule="atLeast"/>
        </w:trPr>
        <w:tc>
          <w:tcPr>
            <w:tcW w:w="371" w:type="dxa"/>
            <w:vMerge/>
            <w:tcBorders>
              <w:top w:val="nil"/>
            </w:tcBorders>
          </w:tcPr>
          <w:p>
            <w:pPr>
              <w:rPr>
                <w:sz w:val="2"/>
                <w:szCs w:val="2"/>
              </w:rPr>
            </w:pPr>
          </w:p>
        </w:tc>
        <w:tc>
          <w:tcPr>
            <w:tcW w:w="1246" w:type="dxa"/>
            <w:vMerge/>
            <w:tcBorders>
              <w:top w:val="nil"/>
            </w:tcBorders>
          </w:tcPr>
          <w:p>
            <w:pPr>
              <w:rPr>
                <w:sz w:val="2"/>
                <w:szCs w:val="2"/>
              </w:rPr>
            </w:pPr>
          </w:p>
        </w:tc>
        <w:tc>
          <w:tcPr>
            <w:tcW w:w="678" w:type="dxa"/>
          </w:tcPr>
          <w:p>
            <w:pPr>
              <w:pStyle w:val="TableParagraph"/>
              <w:spacing w:before="10"/>
              <w:rPr>
                <w:b/>
                <w:sz w:val="30"/>
              </w:rPr>
            </w:pPr>
          </w:p>
          <w:p>
            <w:pPr>
              <w:pStyle w:val="TableParagraph"/>
              <w:ind w:left="15"/>
              <w:rPr>
                <w:sz w:val="22"/>
              </w:rPr>
            </w:pPr>
            <w:r>
              <w:rPr>
                <w:sz w:val="22"/>
              </w:rPr>
              <w:t>1504</w:t>
            </w:r>
          </w:p>
        </w:tc>
        <w:tc>
          <w:tcPr>
            <w:tcW w:w="1050" w:type="dxa"/>
          </w:tcPr>
          <w:p>
            <w:pPr>
              <w:pStyle w:val="TableParagraph"/>
              <w:spacing w:before="10"/>
              <w:rPr>
                <w:b/>
                <w:sz w:val="30"/>
              </w:rPr>
            </w:pPr>
          </w:p>
          <w:p>
            <w:pPr>
              <w:pStyle w:val="TableParagraph"/>
              <w:ind w:left="64" w:right="56"/>
              <w:jc w:val="center"/>
              <w:rPr>
                <w:sz w:val="22"/>
              </w:rPr>
            </w:pPr>
            <w:r>
              <w:rPr>
                <w:sz w:val="22"/>
              </w:rPr>
              <w:t>运行管理</w:t>
            </w:r>
          </w:p>
        </w:tc>
        <w:tc>
          <w:tcPr>
            <w:tcW w:w="600" w:type="dxa"/>
          </w:tcPr>
          <w:p>
            <w:pPr>
              <w:pStyle w:val="TableParagraph"/>
              <w:spacing w:before="7"/>
              <w:rPr>
                <w:b/>
                <w:sz w:val="18"/>
              </w:rPr>
            </w:pPr>
          </w:p>
          <w:p>
            <w:pPr>
              <w:pStyle w:val="TableParagraph"/>
              <w:spacing w:line="266" w:lineRule="auto"/>
              <w:ind w:left="79" w:right="66"/>
              <w:rPr>
                <w:sz w:val="22"/>
              </w:rPr>
            </w:pPr>
            <w:r>
              <w:rPr>
                <w:sz w:val="22"/>
              </w:rPr>
              <w:t>专业技术</w:t>
            </w:r>
          </w:p>
        </w:tc>
        <w:tc>
          <w:tcPr>
            <w:tcW w:w="1680" w:type="dxa"/>
          </w:tcPr>
          <w:p>
            <w:pPr>
              <w:pStyle w:val="TableParagraph"/>
              <w:spacing w:line="266" w:lineRule="auto" w:before="82"/>
              <w:ind w:left="15" w:right="3"/>
              <w:rPr>
                <w:sz w:val="22"/>
              </w:rPr>
            </w:pPr>
            <w:r>
              <w:rPr>
                <w:spacing w:val="-3"/>
                <w:sz w:val="22"/>
              </w:rPr>
              <w:t>工程运行维护管</w:t>
            </w:r>
            <w:r>
              <w:rPr>
                <w:spacing w:val="-18"/>
                <w:sz w:val="22"/>
              </w:rPr>
              <w:t>理、输水调度管理</w:t>
            </w:r>
            <w:r>
              <w:rPr>
                <w:sz w:val="22"/>
              </w:rPr>
              <w:t>等</w:t>
            </w:r>
          </w:p>
        </w:tc>
        <w:tc>
          <w:tcPr>
            <w:tcW w:w="645" w:type="dxa"/>
          </w:tcPr>
          <w:p>
            <w:pPr>
              <w:pStyle w:val="TableParagraph"/>
              <w:spacing w:before="10"/>
              <w:rPr>
                <w:b/>
                <w:sz w:val="30"/>
              </w:rPr>
            </w:pPr>
          </w:p>
          <w:p>
            <w:pPr>
              <w:pStyle w:val="TableParagraph"/>
              <w:ind w:left="9"/>
              <w:jc w:val="center"/>
              <w:rPr>
                <w:sz w:val="22"/>
              </w:rPr>
            </w:pPr>
            <w:r>
              <w:rPr>
                <w:w w:val="100"/>
                <w:sz w:val="22"/>
              </w:rPr>
              <w:t>2</w:t>
            </w:r>
          </w:p>
        </w:tc>
        <w:tc>
          <w:tcPr>
            <w:tcW w:w="3060" w:type="dxa"/>
          </w:tcPr>
          <w:p>
            <w:pPr>
              <w:pStyle w:val="TableParagraph"/>
              <w:spacing w:before="7"/>
              <w:rPr>
                <w:b/>
                <w:sz w:val="18"/>
              </w:rPr>
            </w:pPr>
          </w:p>
          <w:p>
            <w:pPr>
              <w:pStyle w:val="TableParagraph"/>
              <w:spacing w:line="266" w:lineRule="auto"/>
              <w:ind w:left="15" w:right="60"/>
              <w:rPr>
                <w:sz w:val="22"/>
              </w:rPr>
            </w:pPr>
            <w:r>
              <w:rPr>
                <w:sz w:val="22"/>
              </w:rPr>
              <w:t>水利类,计算机类,机械类,自动化类,测绘类</w:t>
            </w:r>
          </w:p>
        </w:tc>
        <w:tc>
          <w:tcPr>
            <w:tcW w:w="1020" w:type="dxa"/>
          </w:tcPr>
          <w:p>
            <w:pPr>
              <w:pStyle w:val="TableParagraph"/>
              <w:spacing w:before="7"/>
              <w:rPr>
                <w:b/>
                <w:sz w:val="18"/>
              </w:rPr>
            </w:pPr>
          </w:p>
          <w:p>
            <w:pPr>
              <w:pStyle w:val="TableParagraph"/>
              <w:spacing w:line="266" w:lineRule="auto"/>
              <w:ind w:left="68" w:right="58"/>
              <w:rPr>
                <w:sz w:val="22"/>
              </w:rPr>
            </w:pPr>
            <w:r>
              <w:rPr>
                <w:sz w:val="22"/>
              </w:rPr>
              <w:t>硕士研究生及以上</w:t>
            </w:r>
          </w:p>
        </w:tc>
        <w:tc>
          <w:tcPr>
            <w:tcW w:w="765" w:type="dxa"/>
          </w:tcPr>
          <w:p>
            <w:pPr>
              <w:pStyle w:val="TableParagraph"/>
              <w:spacing w:before="10"/>
              <w:rPr>
                <w:b/>
                <w:sz w:val="30"/>
              </w:rPr>
            </w:pPr>
          </w:p>
          <w:p>
            <w:pPr>
              <w:pStyle w:val="TableParagraph"/>
              <w:ind w:left="143" w:right="132"/>
              <w:jc w:val="center"/>
              <w:rPr>
                <w:sz w:val="22"/>
              </w:rPr>
            </w:pPr>
            <w:r>
              <w:rPr>
                <w:sz w:val="22"/>
              </w:rPr>
              <w:t>不限</w:t>
            </w:r>
          </w:p>
        </w:tc>
        <w:tc>
          <w:tcPr>
            <w:tcW w:w="825" w:type="dxa"/>
          </w:tcPr>
          <w:p>
            <w:pPr>
              <w:pStyle w:val="TableParagraph"/>
              <w:spacing w:before="10"/>
              <w:rPr>
                <w:b/>
                <w:sz w:val="30"/>
              </w:rPr>
            </w:pPr>
          </w:p>
          <w:p>
            <w:pPr>
              <w:pStyle w:val="TableParagraph"/>
              <w:ind w:left="172" w:right="163"/>
              <w:jc w:val="center"/>
              <w:rPr>
                <w:sz w:val="22"/>
              </w:rPr>
            </w:pPr>
            <w:r>
              <w:rPr>
                <w:sz w:val="22"/>
              </w:rPr>
              <w:t>应届</w:t>
            </w:r>
          </w:p>
        </w:tc>
        <w:tc>
          <w:tcPr>
            <w:tcW w:w="2040" w:type="dxa"/>
          </w:tcPr>
          <w:p>
            <w:pPr>
              <w:pStyle w:val="TableParagraph"/>
              <w:spacing w:before="10"/>
              <w:rPr>
                <w:b/>
                <w:sz w:val="30"/>
              </w:rPr>
            </w:pPr>
          </w:p>
          <w:p>
            <w:pPr>
              <w:pStyle w:val="TableParagraph"/>
              <w:ind w:left="14"/>
              <w:rPr>
                <w:sz w:val="22"/>
              </w:rPr>
            </w:pPr>
            <w:r>
              <w:rPr>
                <w:sz w:val="22"/>
              </w:rPr>
              <w:t>京外生源</w:t>
            </w:r>
          </w:p>
        </w:tc>
        <w:tc>
          <w:tcPr>
            <w:tcW w:w="1605" w:type="dxa"/>
          </w:tcPr>
          <w:p>
            <w:pPr>
              <w:pStyle w:val="TableParagraph"/>
              <w:rPr>
                <w:rFonts w:ascii="Times New Roman"/>
                <w:sz w:val="22"/>
              </w:rPr>
            </w:pPr>
          </w:p>
        </w:tc>
      </w:tr>
      <w:tr>
        <w:trPr>
          <w:trHeight w:val="1055" w:hRule="atLeast"/>
        </w:trPr>
        <w:tc>
          <w:tcPr>
            <w:tcW w:w="371" w:type="dxa"/>
            <w:vMerge/>
            <w:tcBorders>
              <w:top w:val="nil"/>
            </w:tcBorders>
          </w:tcPr>
          <w:p>
            <w:pPr>
              <w:rPr>
                <w:sz w:val="2"/>
                <w:szCs w:val="2"/>
              </w:rPr>
            </w:pPr>
          </w:p>
        </w:tc>
        <w:tc>
          <w:tcPr>
            <w:tcW w:w="1246" w:type="dxa"/>
            <w:vMerge/>
            <w:tcBorders>
              <w:top w:val="nil"/>
            </w:tcBorders>
          </w:tcPr>
          <w:p>
            <w:pPr>
              <w:rPr>
                <w:sz w:val="2"/>
                <w:szCs w:val="2"/>
              </w:rPr>
            </w:pPr>
          </w:p>
        </w:tc>
        <w:tc>
          <w:tcPr>
            <w:tcW w:w="678" w:type="dxa"/>
          </w:tcPr>
          <w:p>
            <w:pPr>
              <w:pStyle w:val="TableParagraph"/>
              <w:spacing w:before="10"/>
              <w:rPr>
                <w:b/>
                <w:sz w:val="30"/>
              </w:rPr>
            </w:pPr>
          </w:p>
          <w:p>
            <w:pPr>
              <w:pStyle w:val="TableParagraph"/>
              <w:ind w:left="15"/>
              <w:rPr>
                <w:sz w:val="22"/>
              </w:rPr>
            </w:pPr>
            <w:r>
              <w:rPr>
                <w:sz w:val="22"/>
              </w:rPr>
              <w:t>1505</w:t>
            </w:r>
          </w:p>
        </w:tc>
        <w:tc>
          <w:tcPr>
            <w:tcW w:w="1050" w:type="dxa"/>
          </w:tcPr>
          <w:p>
            <w:pPr>
              <w:pStyle w:val="TableParagraph"/>
              <w:spacing w:before="8"/>
              <w:rPr>
                <w:b/>
                <w:sz w:val="18"/>
              </w:rPr>
            </w:pPr>
          </w:p>
          <w:p>
            <w:pPr>
              <w:pStyle w:val="TableParagraph"/>
              <w:spacing w:line="266" w:lineRule="auto"/>
              <w:ind w:left="304" w:right="73" w:hanging="221"/>
              <w:rPr>
                <w:sz w:val="22"/>
              </w:rPr>
            </w:pPr>
            <w:r>
              <w:rPr>
                <w:sz w:val="22"/>
              </w:rPr>
              <w:t>科研技术管理</w:t>
            </w:r>
          </w:p>
        </w:tc>
        <w:tc>
          <w:tcPr>
            <w:tcW w:w="600" w:type="dxa"/>
          </w:tcPr>
          <w:p>
            <w:pPr>
              <w:pStyle w:val="TableParagraph"/>
              <w:spacing w:before="8"/>
              <w:rPr>
                <w:b/>
                <w:sz w:val="18"/>
              </w:rPr>
            </w:pPr>
          </w:p>
          <w:p>
            <w:pPr>
              <w:pStyle w:val="TableParagraph"/>
              <w:spacing w:line="266" w:lineRule="auto"/>
              <w:ind w:left="79" w:right="66"/>
              <w:rPr>
                <w:sz w:val="22"/>
              </w:rPr>
            </w:pPr>
            <w:r>
              <w:rPr>
                <w:sz w:val="22"/>
              </w:rPr>
              <w:t>专业技术</w:t>
            </w:r>
          </w:p>
        </w:tc>
        <w:tc>
          <w:tcPr>
            <w:tcW w:w="1680" w:type="dxa"/>
          </w:tcPr>
          <w:p>
            <w:pPr>
              <w:pStyle w:val="TableParagraph"/>
              <w:spacing w:before="8"/>
              <w:rPr>
                <w:b/>
                <w:sz w:val="18"/>
              </w:rPr>
            </w:pPr>
          </w:p>
          <w:p>
            <w:pPr>
              <w:pStyle w:val="TableParagraph"/>
              <w:spacing w:line="266" w:lineRule="auto"/>
              <w:ind w:left="15" w:right="3"/>
              <w:rPr>
                <w:sz w:val="22"/>
              </w:rPr>
            </w:pPr>
            <w:r>
              <w:rPr>
                <w:spacing w:val="-19"/>
                <w:sz w:val="22"/>
              </w:rPr>
              <w:t>科研管理、技术创</w:t>
            </w:r>
            <w:r>
              <w:rPr>
                <w:sz w:val="22"/>
              </w:rPr>
              <w:t>新等</w:t>
            </w:r>
          </w:p>
        </w:tc>
        <w:tc>
          <w:tcPr>
            <w:tcW w:w="645" w:type="dxa"/>
          </w:tcPr>
          <w:p>
            <w:pPr>
              <w:pStyle w:val="TableParagraph"/>
              <w:spacing w:before="10"/>
              <w:rPr>
                <w:b/>
                <w:sz w:val="30"/>
              </w:rPr>
            </w:pPr>
          </w:p>
          <w:p>
            <w:pPr>
              <w:pStyle w:val="TableParagraph"/>
              <w:ind w:left="9"/>
              <w:jc w:val="center"/>
              <w:rPr>
                <w:sz w:val="22"/>
              </w:rPr>
            </w:pPr>
            <w:r>
              <w:rPr>
                <w:w w:val="100"/>
                <w:sz w:val="22"/>
              </w:rPr>
              <w:t>2</w:t>
            </w:r>
          </w:p>
        </w:tc>
        <w:tc>
          <w:tcPr>
            <w:tcW w:w="3060" w:type="dxa"/>
          </w:tcPr>
          <w:p>
            <w:pPr>
              <w:pStyle w:val="TableParagraph"/>
              <w:spacing w:before="8"/>
              <w:rPr>
                <w:b/>
                <w:sz w:val="18"/>
              </w:rPr>
            </w:pPr>
          </w:p>
          <w:p>
            <w:pPr>
              <w:pStyle w:val="TableParagraph"/>
              <w:spacing w:line="266" w:lineRule="auto"/>
              <w:ind w:left="15" w:right="281"/>
              <w:rPr>
                <w:sz w:val="22"/>
              </w:rPr>
            </w:pPr>
            <w:r>
              <w:rPr>
                <w:sz w:val="22"/>
              </w:rPr>
              <w:t>水利类,土木类,建筑类,电气类,安全科学与工程类</w:t>
            </w:r>
          </w:p>
        </w:tc>
        <w:tc>
          <w:tcPr>
            <w:tcW w:w="1020" w:type="dxa"/>
          </w:tcPr>
          <w:p>
            <w:pPr>
              <w:pStyle w:val="TableParagraph"/>
              <w:spacing w:before="8"/>
              <w:rPr>
                <w:b/>
                <w:sz w:val="18"/>
              </w:rPr>
            </w:pPr>
          </w:p>
          <w:p>
            <w:pPr>
              <w:pStyle w:val="TableParagraph"/>
              <w:spacing w:line="266" w:lineRule="auto"/>
              <w:ind w:left="68" w:right="58"/>
              <w:rPr>
                <w:sz w:val="22"/>
              </w:rPr>
            </w:pPr>
            <w:r>
              <w:rPr>
                <w:sz w:val="22"/>
              </w:rPr>
              <w:t>硕士研究生及以上</w:t>
            </w:r>
          </w:p>
        </w:tc>
        <w:tc>
          <w:tcPr>
            <w:tcW w:w="765" w:type="dxa"/>
          </w:tcPr>
          <w:p>
            <w:pPr>
              <w:pStyle w:val="TableParagraph"/>
              <w:spacing w:before="10"/>
              <w:rPr>
                <w:b/>
                <w:sz w:val="30"/>
              </w:rPr>
            </w:pPr>
          </w:p>
          <w:p>
            <w:pPr>
              <w:pStyle w:val="TableParagraph"/>
              <w:ind w:left="143" w:right="132"/>
              <w:jc w:val="center"/>
              <w:rPr>
                <w:sz w:val="22"/>
              </w:rPr>
            </w:pPr>
            <w:r>
              <w:rPr>
                <w:sz w:val="22"/>
              </w:rPr>
              <w:t>不限</w:t>
            </w:r>
          </w:p>
        </w:tc>
        <w:tc>
          <w:tcPr>
            <w:tcW w:w="825" w:type="dxa"/>
          </w:tcPr>
          <w:p>
            <w:pPr>
              <w:pStyle w:val="TableParagraph"/>
              <w:spacing w:before="10"/>
              <w:rPr>
                <w:b/>
                <w:sz w:val="30"/>
              </w:rPr>
            </w:pPr>
          </w:p>
          <w:p>
            <w:pPr>
              <w:pStyle w:val="TableParagraph"/>
              <w:ind w:left="172" w:right="163"/>
              <w:jc w:val="center"/>
              <w:rPr>
                <w:sz w:val="22"/>
              </w:rPr>
            </w:pPr>
            <w:r>
              <w:rPr>
                <w:sz w:val="22"/>
              </w:rPr>
              <w:t>应届</w:t>
            </w:r>
          </w:p>
        </w:tc>
        <w:tc>
          <w:tcPr>
            <w:tcW w:w="2040" w:type="dxa"/>
          </w:tcPr>
          <w:p>
            <w:pPr>
              <w:pStyle w:val="TableParagraph"/>
              <w:spacing w:before="10"/>
              <w:rPr>
                <w:b/>
                <w:sz w:val="30"/>
              </w:rPr>
            </w:pPr>
          </w:p>
          <w:p>
            <w:pPr>
              <w:pStyle w:val="TableParagraph"/>
              <w:ind w:left="14"/>
              <w:rPr>
                <w:sz w:val="22"/>
              </w:rPr>
            </w:pPr>
            <w:r>
              <w:rPr>
                <w:sz w:val="22"/>
              </w:rPr>
              <w:t>京外生源</w:t>
            </w:r>
          </w:p>
        </w:tc>
        <w:tc>
          <w:tcPr>
            <w:tcW w:w="1605" w:type="dxa"/>
          </w:tcPr>
          <w:p>
            <w:pPr>
              <w:pStyle w:val="TableParagraph"/>
              <w:rPr>
                <w:rFonts w:ascii="Times New Roman"/>
                <w:sz w:val="22"/>
              </w:rPr>
            </w:pPr>
          </w:p>
        </w:tc>
      </w:tr>
    </w:tbl>
    <w:sectPr>
      <w:type w:val="continuous"/>
      <w:pgSz w:w="16840" w:h="11910" w:orient="landscape"/>
      <w:pgMar w:top="1580" w:bottom="280" w:left="5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仿宋">
    <w:altName w:val="仿宋"/>
    <w:charset w:val="86"/>
    <w:family w:val="modern"/>
    <w:pitch w:val="fixed"/>
  </w:font>
  <w:font w:name="微软雅黑">
    <w:altName w:val="微软雅黑"/>
    <w:charset w:val="86"/>
    <w:family w:val="swiss"/>
    <w:pitch w:val="variable"/>
  </w:font>
  <w:font w:name="宋体">
    <w:altName w:val="宋体"/>
    <w:charset w:val="86"/>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223" w:hanging="481"/>
        <w:jc w:val="left"/>
      </w:pPr>
      <w:rPr>
        <w:rFonts w:hint="default" w:ascii="仿宋" w:hAnsi="仿宋" w:eastAsia="仿宋" w:cs="仿宋"/>
        <w:spacing w:val="0"/>
        <w:w w:val="99"/>
        <w:sz w:val="30"/>
        <w:szCs w:val="30"/>
        <w:lang w:val="zh-CN" w:eastAsia="zh-CN" w:bidi="zh-CN"/>
      </w:rPr>
    </w:lvl>
    <w:lvl w:ilvl="1">
      <w:start w:val="0"/>
      <w:numFmt w:val="bullet"/>
      <w:lvlText w:val="•"/>
      <w:lvlJc w:val="left"/>
      <w:pPr>
        <w:ind w:left="2032" w:hanging="481"/>
      </w:pPr>
      <w:rPr>
        <w:rFonts w:hint="default"/>
        <w:lang w:val="zh-CN" w:eastAsia="zh-CN" w:bidi="zh-CN"/>
      </w:rPr>
    </w:lvl>
    <w:lvl w:ilvl="2">
      <w:start w:val="0"/>
      <w:numFmt w:val="bullet"/>
      <w:lvlText w:val="•"/>
      <w:lvlJc w:val="left"/>
      <w:pPr>
        <w:ind w:left="2845" w:hanging="481"/>
      </w:pPr>
      <w:rPr>
        <w:rFonts w:hint="default"/>
        <w:lang w:val="zh-CN" w:eastAsia="zh-CN" w:bidi="zh-CN"/>
      </w:rPr>
    </w:lvl>
    <w:lvl w:ilvl="3">
      <w:start w:val="0"/>
      <w:numFmt w:val="bullet"/>
      <w:lvlText w:val="•"/>
      <w:lvlJc w:val="left"/>
      <w:pPr>
        <w:ind w:left="3657" w:hanging="481"/>
      </w:pPr>
      <w:rPr>
        <w:rFonts w:hint="default"/>
        <w:lang w:val="zh-CN" w:eastAsia="zh-CN" w:bidi="zh-CN"/>
      </w:rPr>
    </w:lvl>
    <w:lvl w:ilvl="4">
      <w:start w:val="0"/>
      <w:numFmt w:val="bullet"/>
      <w:lvlText w:val="•"/>
      <w:lvlJc w:val="left"/>
      <w:pPr>
        <w:ind w:left="4470" w:hanging="481"/>
      </w:pPr>
      <w:rPr>
        <w:rFonts w:hint="default"/>
        <w:lang w:val="zh-CN" w:eastAsia="zh-CN" w:bidi="zh-CN"/>
      </w:rPr>
    </w:lvl>
    <w:lvl w:ilvl="5">
      <w:start w:val="0"/>
      <w:numFmt w:val="bullet"/>
      <w:lvlText w:val="•"/>
      <w:lvlJc w:val="left"/>
      <w:pPr>
        <w:ind w:left="5283" w:hanging="481"/>
      </w:pPr>
      <w:rPr>
        <w:rFonts w:hint="default"/>
        <w:lang w:val="zh-CN" w:eastAsia="zh-CN" w:bidi="zh-CN"/>
      </w:rPr>
    </w:lvl>
    <w:lvl w:ilvl="6">
      <w:start w:val="0"/>
      <w:numFmt w:val="bullet"/>
      <w:lvlText w:val="•"/>
      <w:lvlJc w:val="left"/>
      <w:pPr>
        <w:ind w:left="6095" w:hanging="481"/>
      </w:pPr>
      <w:rPr>
        <w:rFonts w:hint="default"/>
        <w:lang w:val="zh-CN" w:eastAsia="zh-CN" w:bidi="zh-CN"/>
      </w:rPr>
    </w:lvl>
    <w:lvl w:ilvl="7">
      <w:start w:val="0"/>
      <w:numFmt w:val="bullet"/>
      <w:lvlText w:val="•"/>
      <w:lvlJc w:val="left"/>
      <w:pPr>
        <w:ind w:left="6908" w:hanging="481"/>
      </w:pPr>
      <w:rPr>
        <w:rFonts w:hint="default"/>
        <w:lang w:val="zh-CN" w:eastAsia="zh-CN" w:bidi="zh-CN"/>
      </w:rPr>
    </w:lvl>
    <w:lvl w:ilvl="8">
      <w:start w:val="0"/>
      <w:numFmt w:val="bullet"/>
      <w:lvlText w:val="•"/>
      <w:lvlJc w:val="left"/>
      <w:pPr>
        <w:ind w:left="7720" w:hanging="481"/>
      </w:pPr>
      <w:rPr>
        <w:rFonts w:hint="default"/>
        <w:lang w:val="zh-CN" w:eastAsia="zh-CN" w:bidi="zh-CN"/>
      </w:rPr>
    </w:lvl>
  </w:abstractNum>
  <w:abstractNum w:abstractNumId="0">
    <w:multiLevelType w:val="hybridMultilevel"/>
    <w:lvl w:ilvl="0">
      <w:start w:val="1"/>
      <w:numFmt w:val="decimal"/>
      <w:lvlText w:val="%1."/>
      <w:lvlJc w:val="left"/>
      <w:pPr>
        <w:ind w:left="1064" w:hanging="322"/>
        <w:jc w:val="left"/>
      </w:pPr>
      <w:rPr>
        <w:rFonts w:hint="default" w:ascii="仿宋" w:hAnsi="仿宋" w:eastAsia="仿宋" w:cs="仿宋"/>
        <w:spacing w:val="1"/>
        <w:w w:val="99"/>
        <w:sz w:val="30"/>
        <w:szCs w:val="30"/>
        <w:lang w:val="zh-CN" w:eastAsia="zh-CN" w:bidi="zh-CN"/>
      </w:rPr>
    </w:lvl>
    <w:lvl w:ilvl="1">
      <w:start w:val="0"/>
      <w:numFmt w:val="bullet"/>
      <w:lvlText w:val="•"/>
      <w:lvlJc w:val="left"/>
      <w:pPr>
        <w:ind w:left="1888" w:hanging="322"/>
      </w:pPr>
      <w:rPr>
        <w:rFonts w:hint="default"/>
        <w:lang w:val="zh-CN" w:eastAsia="zh-CN" w:bidi="zh-CN"/>
      </w:rPr>
    </w:lvl>
    <w:lvl w:ilvl="2">
      <w:start w:val="0"/>
      <w:numFmt w:val="bullet"/>
      <w:lvlText w:val="•"/>
      <w:lvlJc w:val="left"/>
      <w:pPr>
        <w:ind w:left="2717" w:hanging="322"/>
      </w:pPr>
      <w:rPr>
        <w:rFonts w:hint="default"/>
        <w:lang w:val="zh-CN" w:eastAsia="zh-CN" w:bidi="zh-CN"/>
      </w:rPr>
    </w:lvl>
    <w:lvl w:ilvl="3">
      <w:start w:val="0"/>
      <w:numFmt w:val="bullet"/>
      <w:lvlText w:val="•"/>
      <w:lvlJc w:val="left"/>
      <w:pPr>
        <w:ind w:left="3545" w:hanging="322"/>
      </w:pPr>
      <w:rPr>
        <w:rFonts w:hint="default"/>
        <w:lang w:val="zh-CN" w:eastAsia="zh-CN" w:bidi="zh-CN"/>
      </w:rPr>
    </w:lvl>
    <w:lvl w:ilvl="4">
      <w:start w:val="0"/>
      <w:numFmt w:val="bullet"/>
      <w:lvlText w:val="•"/>
      <w:lvlJc w:val="left"/>
      <w:pPr>
        <w:ind w:left="4374" w:hanging="322"/>
      </w:pPr>
      <w:rPr>
        <w:rFonts w:hint="default"/>
        <w:lang w:val="zh-CN" w:eastAsia="zh-CN" w:bidi="zh-CN"/>
      </w:rPr>
    </w:lvl>
    <w:lvl w:ilvl="5">
      <w:start w:val="0"/>
      <w:numFmt w:val="bullet"/>
      <w:lvlText w:val="•"/>
      <w:lvlJc w:val="left"/>
      <w:pPr>
        <w:ind w:left="5203" w:hanging="322"/>
      </w:pPr>
      <w:rPr>
        <w:rFonts w:hint="default"/>
        <w:lang w:val="zh-CN" w:eastAsia="zh-CN" w:bidi="zh-CN"/>
      </w:rPr>
    </w:lvl>
    <w:lvl w:ilvl="6">
      <w:start w:val="0"/>
      <w:numFmt w:val="bullet"/>
      <w:lvlText w:val="•"/>
      <w:lvlJc w:val="left"/>
      <w:pPr>
        <w:ind w:left="6031" w:hanging="322"/>
      </w:pPr>
      <w:rPr>
        <w:rFonts w:hint="default"/>
        <w:lang w:val="zh-CN" w:eastAsia="zh-CN" w:bidi="zh-CN"/>
      </w:rPr>
    </w:lvl>
    <w:lvl w:ilvl="7">
      <w:start w:val="0"/>
      <w:numFmt w:val="bullet"/>
      <w:lvlText w:val="•"/>
      <w:lvlJc w:val="left"/>
      <w:pPr>
        <w:ind w:left="6860" w:hanging="322"/>
      </w:pPr>
      <w:rPr>
        <w:rFonts w:hint="default"/>
        <w:lang w:val="zh-CN" w:eastAsia="zh-CN" w:bidi="zh-CN"/>
      </w:rPr>
    </w:lvl>
    <w:lvl w:ilvl="8">
      <w:start w:val="0"/>
      <w:numFmt w:val="bullet"/>
      <w:lvlText w:val="•"/>
      <w:lvlJc w:val="left"/>
      <w:pPr>
        <w:ind w:left="7688" w:hanging="322"/>
      </w:pPr>
      <w:rPr>
        <w:rFonts w:hint="default"/>
        <w:lang w:val="zh-CN" w:eastAsia="zh-CN" w:bidi="zh-CN"/>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仿宋" w:hAnsi="仿宋" w:eastAsia="仿宋" w:cs="仿宋"/>
      <w:lang w:val="zh-CN" w:eastAsia="zh-CN" w:bidi="zh-CN"/>
    </w:rPr>
  </w:style>
  <w:style w:styleId="BodyText" w:type="paragraph">
    <w:name w:val="Body Text"/>
    <w:basedOn w:val="Normal"/>
    <w:uiPriority w:val="1"/>
    <w:qFormat/>
    <w:pPr>
      <w:spacing w:before="214"/>
      <w:ind w:left="104"/>
    </w:pPr>
    <w:rPr>
      <w:rFonts w:ascii="仿宋" w:hAnsi="仿宋" w:eastAsia="仿宋" w:cs="仿宋"/>
      <w:sz w:val="32"/>
      <w:szCs w:val="32"/>
      <w:lang w:val="zh-CN" w:eastAsia="zh-CN" w:bidi="zh-CN"/>
    </w:rPr>
  </w:style>
  <w:style w:styleId="Heading1" w:type="paragraph">
    <w:name w:val="Heading 1"/>
    <w:basedOn w:val="Normal"/>
    <w:uiPriority w:val="1"/>
    <w:qFormat/>
    <w:pPr>
      <w:ind w:left="120"/>
      <w:outlineLvl w:val="1"/>
    </w:pPr>
    <w:rPr>
      <w:rFonts w:ascii="宋体" w:hAnsi="宋体" w:eastAsia="宋体" w:cs="宋体"/>
      <w:b/>
      <w:bCs/>
      <w:sz w:val="36"/>
      <w:szCs w:val="36"/>
      <w:lang w:val="zh-CN" w:eastAsia="zh-CN" w:bidi="zh-CN"/>
    </w:rPr>
  </w:style>
  <w:style w:styleId="Heading2" w:type="paragraph">
    <w:name w:val="Heading 2"/>
    <w:basedOn w:val="Normal"/>
    <w:uiPriority w:val="1"/>
    <w:qFormat/>
    <w:pPr>
      <w:spacing w:before="50"/>
      <w:ind w:left="1962" w:right="2123"/>
      <w:jc w:val="center"/>
      <w:outlineLvl w:val="2"/>
    </w:pPr>
    <w:rPr>
      <w:rFonts w:ascii="黑体" w:hAnsi="黑体" w:eastAsia="黑体" w:cs="黑体"/>
      <w:sz w:val="36"/>
      <w:szCs w:val="36"/>
      <w:lang w:val="zh-CN" w:eastAsia="zh-CN" w:bidi="zh-CN"/>
    </w:rPr>
  </w:style>
  <w:style w:styleId="Heading3" w:type="paragraph">
    <w:name w:val="Heading 3"/>
    <w:basedOn w:val="Normal"/>
    <w:uiPriority w:val="1"/>
    <w:qFormat/>
    <w:pPr>
      <w:spacing w:before="1"/>
      <w:ind w:left="742"/>
      <w:outlineLvl w:val="3"/>
    </w:pPr>
    <w:rPr>
      <w:rFonts w:ascii="仿宋" w:hAnsi="仿宋" w:eastAsia="仿宋" w:cs="仿宋"/>
      <w:b/>
      <w:bCs/>
      <w:sz w:val="32"/>
      <w:szCs w:val="32"/>
      <w:lang w:val="zh-CN" w:eastAsia="zh-CN" w:bidi="zh-CN"/>
    </w:rPr>
  </w:style>
  <w:style w:styleId="ListParagraph" w:type="paragraph">
    <w:name w:val="List Paragraph"/>
    <w:basedOn w:val="Normal"/>
    <w:uiPriority w:val="1"/>
    <w:qFormat/>
    <w:pPr>
      <w:spacing w:before="231"/>
      <w:ind w:left="1064" w:hanging="322"/>
    </w:pPr>
    <w:rPr>
      <w:rFonts w:ascii="仿宋" w:hAnsi="仿宋" w:eastAsia="仿宋" w:cs="仿宋"/>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rencai.mwr.cn/" TargetMode="External"/><Relationship Id="rId6" Type="http://schemas.openxmlformats.org/officeDocument/2006/relationships/hyperlink" Target="http://zjdw2021.slrsks.cn/" TargetMode="External"/><Relationship Id="rId7" Type="http://schemas.openxmlformats.org/officeDocument/2006/relationships/hyperlink" Target="http://www.nsbd.cn/"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2021-03-25T05:06:37Z</dcterms:created>
  <dcterms:modified xsi:type="dcterms:W3CDTF">2021-03-25T05:06:37Z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LastSaved">
    <vt:filetime>2021-03-25T00:00:00Z</vt:filetime>
  </property>
</Properties>
</file>