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both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 w:cs="仿宋_GB2312"/>
          <w:szCs w:val="32"/>
        </w:rPr>
        <w:t>附件4</w:t>
      </w:r>
      <w:r>
        <w:rPr>
          <w:rFonts w:hint="eastAsia" w:ascii="宋体" w:hAnsi="宋体" w:cs="仿宋_GB2312"/>
          <w:szCs w:val="32"/>
        </w:rPr>
        <w:t xml:space="preserve">   </w:t>
      </w:r>
      <w:r>
        <w:rPr>
          <w:rFonts w:hint="eastAsia" w:ascii="宋体" w:hAnsi="宋体" w:eastAsia="宋体"/>
          <w:sz w:val="30"/>
          <w:szCs w:val="30"/>
        </w:rPr>
        <w:t>普通高等学校本科专业目录</w:t>
      </w:r>
      <w:r>
        <w:rPr>
          <w:rFonts w:ascii="宋体" w:hAnsi="宋体" w:eastAsia="宋体"/>
          <w:sz w:val="30"/>
          <w:szCs w:val="30"/>
        </w:rPr>
        <w:t>（2012年）</w:t>
      </w:r>
      <w:r>
        <w:rPr>
          <w:rFonts w:hint="eastAsia" w:ascii="宋体" w:hAnsi="宋体" w:eastAsia="宋体"/>
          <w:sz w:val="30"/>
          <w:szCs w:val="30"/>
        </w:rPr>
        <w:t>（节选）</w:t>
      </w:r>
    </w:p>
    <w:tbl>
      <w:tblPr>
        <w:tblStyle w:val="3"/>
        <w:tblW w:w="833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精神医学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放射医学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妇幼保健医学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卫生监督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药事管理（注：授予理学学士学位）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药物分析（注：授予理学学士学位）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药物化学（注：授予理学学士学位）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中药制药（注：可授理学或工学学士学位）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中草药栽培与鉴定（注：授予理学学士学位）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听力与言语康复学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BG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圆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11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BIIIIIIN</cp:lastModifiedBy>
  <dcterms:modified xsi:type="dcterms:W3CDTF">2017-11-08T08:30:51Z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