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92"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1239"/>
        <w:gridCol w:w="621"/>
        <w:gridCol w:w="391"/>
        <w:gridCol w:w="903"/>
        <w:gridCol w:w="1654"/>
        <w:gridCol w:w="982"/>
        <w:gridCol w:w="1224"/>
        <w:gridCol w:w="13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15" w:type="dxa"/>
        </w:trPr>
        <w:tc>
          <w:tcPr>
            <w:tcW w:w="1194" w:type="dxa"/>
            <w:vMerge w:val="restart"/>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岗位名称</w:t>
            </w:r>
          </w:p>
        </w:tc>
        <w:tc>
          <w:tcPr>
            <w:tcW w:w="591" w:type="dxa"/>
            <w:vMerge w:val="restart"/>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招聘人数</w:t>
            </w:r>
          </w:p>
        </w:tc>
        <w:tc>
          <w:tcPr>
            <w:tcW w:w="6487" w:type="dxa"/>
            <w:gridSpan w:val="6"/>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资格条件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94" w:type="dxa"/>
            <w:vMerge w:val="continue"/>
            <w:shd w:val="clear"/>
            <w:vAlign w:val="center"/>
          </w:tcPr>
          <w:p>
            <w:pPr>
              <w:rPr>
                <w:rFonts w:hint="eastAsia" w:ascii="宋体"/>
                <w:sz w:val="24"/>
                <w:szCs w:val="24"/>
              </w:rPr>
            </w:pPr>
          </w:p>
        </w:tc>
        <w:tc>
          <w:tcPr>
            <w:tcW w:w="591" w:type="dxa"/>
            <w:vMerge w:val="continue"/>
            <w:shd w:val="clear"/>
            <w:vAlign w:val="center"/>
          </w:tcPr>
          <w:p>
            <w:pPr>
              <w:rPr>
                <w:rFonts w:hint="eastAsia" w:ascii="宋体"/>
                <w:sz w:val="24"/>
                <w:szCs w:val="24"/>
              </w:rPr>
            </w:pPr>
          </w:p>
        </w:tc>
        <w:tc>
          <w:tcPr>
            <w:tcW w:w="361" w:type="dxa"/>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性别</w:t>
            </w:r>
          </w:p>
        </w:tc>
        <w:tc>
          <w:tcPr>
            <w:tcW w:w="873" w:type="dxa"/>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专业</w:t>
            </w:r>
          </w:p>
        </w:tc>
        <w:tc>
          <w:tcPr>
            <w:tcW w:w="1624" w:type="dxa"/>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技能要求</w:t>
            </w:r>
          </w:p>
        </w:tc>
        <w:tc>
          <w:tcPr>
            <w:tcW w:w="952" w:type="dxa"/>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学历</w:t>
            </w:r>
          </w:p>
        </w:tc>
        <w:tc>
          <w:tcPr>
            <w:tcW w:w="1194" w:type="dxa"/>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年龄</w:t>
            </w:r>
          </w:p>
        </w:tc>
        <w:tc>
          <w:tcPr>
            <w:tcW w:w="1333" w:type="dxa"/>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其他条件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9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合同制书记员（岗位一）</w:t>
            </w:r>
          </w:p>
        </w:tc>
        <w:tc>
          <w:tcPr>
            <w:tcW w:w="59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20 </w:t>
            </w:r>
          </w:p>
        </w:tc>
        <w:tc>
          <w:tcPr>
            <w:tcW w:w="36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男</w:t>
            </w:r>
          </w:p>
        </w:tc>
        <w:tc>
          <w:tcPr>
            <w:tcW w:w="87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法律类、公安类</w:t>
            </w:r>
          </w:p>
        </w:tc>
        <w:tc>
          <w:tcPr>
            <w:tcW w:w="1624"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中文录入速度每分钟80字以上（听打，不强调输入法，不使用语音伴侣）。</w:t>
            </w:r>
          </w:p>
        </w:tc>
        <w:tc>
          <w:tcPr>
            <w:tcW w:w="952"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大专及以上，报考合同制司法警察的部队(武警)退伍军人可放宽学历条件。应届毕业生应于2017年7月31日前取得相关学历学位证书。</w:t>
            </w:r>
          </w:p>
        </w:tc>
        <w:tc>
          <w:tcPr>
            <w:tcW w:w="1194"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28周岁以下（1989年7月1日以后出生）。取得国家承认的本科以上学历的，年龄可放宽至30周岁以下(1987年7月1日以后出生）。</w:t>
            </w:r>
          </w:p>
          <w:p>
            <w:pPr>
              <w:keepNext w:val="0"/>
              <w:keepLines w:val="0"/>
              <w:widowControl/>
              <w:suppressLineNumbers w:val="0"/>
              <w:jc w:val="left"/>
            </w:pPr>
            <w:r>
              <w:rPr>
                <w:rFonts w:ascii="宋体" w:hAnsi="宋体" w:eastAsia="宋体" w:cs="宋体"/>
                <w:kern w:val="0"/>
                <w:sz w:val="24"/>
                <w:szCs w:val="24"/>
                <w:lang w:val="en-US" w:eastAsia="zh-CN" w:bidi="ar"/>
              </w:rPr>
              <w:t> </w:t>
            </w:r>
          </w:p>
        </w:tc>
        <w:tc>
          <w:tcPr>
            <w:tcW w:w="1333" w:type="dxa"/>
            <w:vMerge w:val="restart"/>
            <w:shd w:val="clear"/>
            <w:vAlign w:val="center"/>
          </w:tcPr>
          <w:p>
            <w:pPr>
              <w:keepNext w:val="0"/>
              <w:keepLines w:val="0"/>
              <w:widowControl/>
              <w:suppressLineNumbers w:val="0"/>
              <w:jc w:val="both"/>
            </w:pPr>
            <w:r>
              <w:rPr>
                <w:rFonts w:ascii="宋体" w:hAnsi="宋体" w:eastAsia="宋体" w:cs="宋体"/>
                <w:kern w:val="0"/>
                <w:sz w:val="24"/>
                <w:szCs w:val="24"/>
                <w:lang w:val="en-US" w:eastAsia="zh-CN" w:bidi="ar"/>
              </w:rPr>
              <w:t>   同等条件下，具有速录员资格人员、取得国家法律职业资格证书或有法律工作经历者可优先聘用。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9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合同制书记员（岗位二）</w:t>
            </w:r>
          </w:p>
        </w:tc>
        <w:tc>
          <w:tcPr>
            <w:tcW w:w="59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40 </w:t>
            </w:r>
          </w:p>
        </w:tc>
        <w:tc>
          <w:tcPr>
            <w:tcW w:w="36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873"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1624" w:type="dxa"/>
            <w:vMerge w:val="continue"/>
            <w:shd w:val="clear"/>
            <w:vAlign w:val="center"/>
          </w:tcPr>
          <w:p>
            <w:pPr>
              <w:rPr>
                <w:rFonts w:hint="eastAsia" w:ascii="宋体"/>
                <w:sz w:val="24"/>
                <w:szCs w:val="24"/>
              </w:rPr>
            </w:pPr>
          </w:p>
        </w:tc>
        <w:tc>
          <w:tcPr>
            <w:tcW w:w="952" w:type="dxa"/>
            <w:vMerge w:val="continue"/>
            <w:shd w:val="clear"/>
            <w:vAlign w:val="center"/>
          </w:tcPr>
          <w:p>
            <w:pPr>
              <w:rPr>
                <w:rFonts w:hint="eastAsia" w:ascii="宋体"/>
                <w:sz w:val="24"/>
                <w:szCs w:val="24"/>
              </w:rPr>
            </w:pPr>
          </w:p>
        </w:tc>
        <w:tc>
          <w:tcPr>
            <w:tcW w:w="1194" w:type="dxa"/>
            <w:vMerge w:val="continue"/>
            <w:shd w:val="clear"/>
            <w:vAlign w:val="center"/>
          </w:tcPr>
          <w:p>
            <w:pPr>
              <w:rPr>
                <w:rFonts w:hint="eastAsia" w:ascii="宋体"/>
                <w:sz w:val="24"/>
                <w:szCs w:val="24"/>
              </w:rPr>
            </w:pPr>
          </w:p>
        </w:tc>
        <w:tc>
          <w:tcPr>
            <w:tcW w:w="1333"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9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人民陪执员</w:t>
            </w:r>
          </w:p>
        </w:tc>
        <w:tc>
          <w:tcPr>
            <w:tcW w:w="59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w:t>
            </w:r>
          </w:p>
        </w:tc>
        <w:tc>
          <w:tcPr>
            <w:tcW w:w="36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873" w:type="dxa"/>
            <w:vMerge w:val="continue"/>
            <w:shd w:val="clear"/>
            <w:vAlign w:val="center"/>
          </w:tcPr>
          <w:p>
            <w:pPr>
              <w:rPr>
                <w:rFonts w:hint="eastAsia" w:ascii="宋体"/>
                <w:sz w:val="24"/>
                <w:szCs w:val="24"/>
              </w:rPr>
            </w:pPr>
          </w:p>
        </w:tc>
        <w:tc>
          <w:tcPr>
            <w:tcW w:w="1624" w:type="dxa"/>
            <w:vMerge w:val="continue"/>
            <w:shd w:val="clear"/>
            <w:vAlign w:val="center"/>
          </w:tcPr>
          <w:p>
            <w:pPr>
              <w:rPr>
                <w:rFonts w:hint="eastAsia" w:ascii="宋体"/>
                <w:sz w:val="24"/>
                <w:szCs w:val="24"/>
              </w:rPr>
            </w:pPr>
          </w:p>
        </w:tc>
        <w:tc>
          <w:tcPr>
            <w:tcW w:w="952" w:type="dxa"/>
            <w:vMerge w:val="continue"/>
            <w:shd w:val="clear"/>
            <w:vAlign w:val="center"/>
          </w:tcPr>
          <w:p>
            <w:pPr>
              <w:rPr>
                <w:rFonts w:hint="eastAsia" w:ascii="宋体"/>
                <w:sz w:val="24"/>
                <w:szCs w:val="24"/>
              </w:rPr>
            </w:pPr>
          </w:p>
        </w:tc>
        <w:tc>
          <w:tcPr>
            <w:tcW w:w="1194" w:type="dxa"/>
            <w:vMerge w:val="continue"/>
            <w:shd w:val="clear"/>
            <w:vAlign w:val="center"/>
          </w:tcPr>
          <w:p>
            <w:pPr>
              <w:rPr>
                <w:rFonts w:hint="eastAsia" w:ascii="宋体"/>
                <w:sz w:val="24"/>
                <w:szCs w:val="24"/>
              </w:rPr>
            </w:pPr>
          </w:p>
        </w:tc>
        <w:tc>
          <w:tcPr>
            <w:tcW w:w="1333"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94"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合同制</w:t>
            </w:r>
          </w:p>
          <w:p>
            <w:pPr>
              <w:keepNext w:val="0"/>
              <w:keepLines w:val="0"/>
              <w:widowControl/>
              <w:suppressLineNumbers w:val="0"/>
              <w:jc w:val="center"/>
            </w:pPr>
            <w:r>
              <w:rPr>
                <w:rFonts w:ascii="宋体" w:hAnsi="宋体" w:eastAsia="宋体" w:cs="宋体"/>
                <w:kern w:val="0"/>
                <w:sz w:val="24"/>
                <w:szCs w:val="24"/>
                <w:lang w:val="en-US" w:eastAsia="zh-CN" w:bidi="ar"/>
              </w:rPr>
              <w:t>司法警察</w:t>
            </w:r>
          </w:p>
        </w:tc>
        <w:tc>
          <w:tcPr>
            <w:tcW w:w="59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16</w:t>
            </w:r>
          </w:p>
        </w:tc>
        <w:tc>
          <w:tcPr>
            <w:tcW w:w="36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男</w:t>
            </w:r>
          </w:p>
        </w:tc>
        <w:tc>
          <w:tcPr>
            <w:tcW w:w="873"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法律类、公安类，或部队（武警）退伍军人</w:t>
            </w:r>
          </w:p>
        </w:tc>
        <w:tc>
          <w:tcPr>
            <w:tcW w:w="1624"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按照《关于印发公安机关录用人民警察体能测评项目和标准（暂行）的通知》（人社部发〔2011〕48号）规定,通过体能测试。</w:t>
            </w:r>
          </w:p>
        </w:tc>
        <w:tc>
          <w:tcPr>
            <w:tcW w:w="952" w:type="dxa"/>
            <w:vMerge w:val="continue"/>
            <w:shd w:val="clear"/>
            <w:vAlign w:val="center"/>
          </w:tcPr>
          <w:p>
            <w:pPr>
              <w:rPr>
                <w:rFonts w:hint="eastAsia" w:ascii="宋体"/>
                <w:sz w:val="24"/>
                <w:szCs w:val="24"/>
              </w:rPr>
            </w:pPr>
          </w:p>
        </w:tc>
        <w:tc>
          <w:tcPr>
            <w:tcW w:w="1194" w:type="dxa"/>
            <w:vMerge w:val="continue"/>
            <w:shd w:val="clear"/>
            <w:vAlign w:val="center"/>
          </w:tcPr>
          <w:p>
            <w:pPr>
              <w:rPr>
                <w:rFonts w:hint="eastAsia" w:ascii="宋体"/>
                <w:sz w:val="24"/>
                <w:szCs w:val="24"/>
              </w:rPr>
            </w:pPr>
          </w:p>
        </w:tc>
        <w:tc>
          <w:tcPr>
            <w:tcW w:w="1333" w:type="dxa"/>
            <w:vMerge w:val="restart"/>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男性身高1.7米以上，女性身高1.6米以上。体检必须符合《公务员录用体检特殊标准》中对人民警察的体检要求。</w:t>
            </w:r>
          </w:p>
          <w:p>
            <w:pPr>
              <w:keepNext w:val="0"/>
              <w:keepLines w:val="0"/>
              <w:widowControl/>
              <w:suppressLineNumbers w:val="0"/>
              <w:jc w:val="left"/>
            </w:pPr>
            <w:r>
              <w:rPr>
                <w:rFonts w:ascii="宋体" w:hAnsi="宋体" w:eastAsia="宋体" w:cs="宋体"/>
                <w:kern w:val="0"/>
                <w:sz w:val="24"/>
                <w:szCs w:val="24"/>
                <w:lang w:val="en-US" w:eastAsia="zh-CN" w:bidi="ar"/>
              </w:rPr>
              <w:t>  同等条件下具有武术、散打、拳击、擒拿等特殊技能的人员可优先聘用。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94" w:type="dxa"/>
            <w:vMerge w:val="continue"/>
            <w:shd w:val="clear"/>
            <w:vAlign w:val="center"/>
          </w:tcPr>
          <w:p>
            <w:pPr>
              <w:rPr>
                <w:rFonts w:hint="eastAsia" w:ascii="宋体"/>
                <w:sz w:val="24"/>
                <w:szCs w:val="24"/>
              </w:rPr>
            </w:pPr>
          </w:p>
        </w:tc>
        <w:tc>
          <w:tcPr>
            <w:tcW w:w="59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4 </w:t>
            </w:r>
          </w:p>
        </w:tc>
        <w:tc>
          <w:tcPr>
            <w:tcW w:w="36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女</w:t>
            </w:r>
          </w:p>
        </w:tc>
        <w:tc>
          <w:tcPr>
            <w:tcW w:w="873" w:type="dxa"/>
            <w:vMerge w:val="continue"/>
            <w:shd w:val="clear"/>
            <w:vAlign w:val="center"/>
          </w:tcPr>
          <w:p>
            <w:pPr>
              <w:rPr>
                <w:rFonts w:hint="eastAsia" w:ascii="宋体"/>
                <w:sz w:val="24"/>
                <w:szCs w:val="24"/>
              </w:rPr>
            </w:pPr>
          </w:p>
        </w:tc>
        <w:tc>
          <w:tcPr>
            <w:tcW w:w="1624" w:type="dxa"/>
            <w:vMerge w:val="continue"/>
            <w:shd w:val="clear"/>
            <w:vAlign w:val="center"/>
          </w:tcPr>
          <w:p>
            <w:pPr>
              <w:rPr>
                <w:rFonts w:hint="eastAsia" w:ascii="宋体"/>
                <w:sz w:val="24"/>
                <w:szCs w:val="24"/>
              </w:rPr>
            </w:pPr>
          </w:p>
        </w:tc>
        <w:tc>
          <w:tcPr>
            <w:tcW w:w="952" w:type="dxa"/>
            <w:vMerge w:val="continue"/>
            <w:shd w:val="clear"/>
            <w:vAlign w:val="center"/>
          </w:tcPr>
          <w:p>
            <w:pPr>
              <w:rPr>
                <w:rFonts w:hint="eastAsia" w:ascii="宋体"/>
                <w:sz w:val="24"/>
                <w:szCs w:val="24"/>
              </w:rPr>
            </w:pPr>
          </w:p>
        </w:tc>
        <w:tc>
          <w:tcPr>
            <w:tcW w:w="1194" w:type="dxa"/>
            <w:vMerge w:val="continue"/>
            <w:shd w:val="clear"/>
            <w:vAlign w:val="center"/>
          </w:tcPr>
          <w:p>
            <w:pPr>
              <w:rPr>
                <w:rFonts w:hint="eastAsia" w:ascii="宋体"/>
                <w:sz w:val="24"/>
                <w:szCs w:val="24"/>
              </w:rPr>
            </w:pPr>
          </w:p>
        </w:tc>
        <w:tc>
          <w:tcPr>
            <w:tcW w:w="1333" w:type="dxa"/>
            <w:vMerge w:val="continue"/>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94"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合同制司法技术人员</w:t>
            </w:r>
          </w:p>
        </w:tc>
        <w:tc>
          <w:tcPr>
            <w:tcW w:w="59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5 </w:t>
            </w:r>
          </w:p>
        </w:tc>
        <w:tc>
          <w:tcPr>
            <w:tcW w:w="361"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不限</w:t>
            </w:r>
          </w:p>
        </w:tc>
        <w:tc>
          <w:tcPr>
            <w:tcW w:w="87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计算机类</w:t>
            </w:r>
          </w:p>
        </w:tc>
        <w:tc>
          <w:tcPr>
            <w:tcW w:w="1624"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具备扎实的计算机网络基础知识，熟练掌握Windows系统及办公软件，熟悉主流网络产品技术。</w:t>
            </w:r>
          </w:p>
        </w:tc>
        <w:tc>
          <w:tcPr>
            <w:tcW w:w="952" w:type="dxa"/>
            <w:vMerge w:val="continue"/>
            <w:shd w:val="clear"/>
            <w:vAlign w:val="center"/>
          </w:tcPr>
          <w:p>
            <w:pPr>
              <w:rPr>
                <w:rFonts w:hint="eastAsia" w:ascii="宋体"/>
                <w:sz w:val="24"/>
                <w:szCs w:val="24"/>
              </w:rPr>
            </w:pPr>
          </w:p>
        </w:tc>
        <w:tc>
          <w:tcPr>
            <w:tcW w:w="1194" w:type="dxa"/>
            <w:vMerge w:val="continue"/>
            <w:shd w:val="clear"/>
            <w:vAlign w:val="center"/>
          </w:tcPr>
          <w:p>
            <w:pPr>
              <w:rPr>
                <w:rFonts w:hint="eastAsia" w:ascii="宋体"/>
                <w:sz w:val="24"/>
                <w:szCs w:val="24"/>
              </w:rPr>
            </w:pPr>
          </w:p>
        </w:tc>
        <w:tc>
          <w:tcPr>
            <w:tcW w:w="1333" w:type="dxa"/>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  同等条件下，具备相关计算机等级证书者和两年以上计算机网络管理和维护工作人员可优先聘用。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blCellSpacing w:w="15" w:type="dxa"/>
        </w:trPr>
        <w:tc>
          <w:tcPr>
            <w:tcW w:w="1194" w:type="dxa"/>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合  计</w:t>
            </w:r>
          </w:p>
        </w:tc>
        <w:tc>
          <w:tcPr>
            <w:tcW w:w="7108" w:type="dxa"/>
            <w:gridSpan w:val="7"/>
            <w:shd w:val="clear"/>
            <w:vAlign w:val="center"/>
          </w:tcPr>
          <w:p>
            <w:pPr>
              <w:keepNext w:val="0"/>
              <w:keepLines w:val="0"/>
              <w:widowControl/>
              <w:suppressLineNumbers w:val="0"/>
              <w:jc w:val="center"/>
            </w:pPr>
            <w:r>
              <w:rPr>
                <w:rFonts w:ascii="宋体" w:hAnsi="宋体" w:eastAsia="宋体" w:cs="宋体"/>
                <w:b/>
                <w:kern w:val="0"/>
                <w:sz w:val="24"/>
                <w:szCs w:val="24"/>
                <w:lang w:val="en-US" w:eastAsia="zh-CN" w:bidi="ar"/>
              </w:rPr>
              <w:t>90人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950DB5"/>
    <w:rsid w:val="7DE6675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000000"/>
      <w:u w:val="none"/>
    </w:rPr>
  </w:style>
  <w:style w:type="character" w:styleId="4">
    <w:name w:val="Emphasis"/>
    <w:basedOn w:val="2"/>
    <w:qFormat/>
    <w:uiPriority w:val="0"/>
  </w:style>
  <w:style w:type="character" w:styleId="5">
    <w:name w:val="HTML Definition"/>
    <w:basedOn w:val="2"/>
    <w:uiPriority w:val="0"/>
  </w:style>
  <w:style w:type="character" w:styleId="6">
    <w:name w:val="HTML Acronym"/>
    <w:basedOn w:val="2"/>
    <w:qFormat/>
    <w:uiPriority w:val="0"/>
  </w:style>
  <w:style w:type="character" w:styleId="7">
    <w:name w:val="HTML Variable"/>
    <w:basedOn w:val="2"/>
    <w:uiPriority w:val="0"/>
  </w:style>
  <w:style w:type="character" w:styleId="8">
    <w:name w:val="Hyperlink"/>
    <w:basedOn w:val="2"/>
    <w:uiPriority w:val="0"/>
    <w:rPr>
      <w:color w:val="000000"/>
      <w:u w:val="none"/>
    </w:rPr>
  </w:style>
  <w:style w:type="character" w:styleId="9">
    <w:name w:val="HTML Code"/>
    <w:basedOn w:val="2"/>
    <w:qFormat/>
    <w:uiPriority w:val="0"/>
    <w:rPr>
      <w:rFonts w:ascii="Courier New" w:hAnsi="Courier New"/>
      <w:sz w:val="20"/>
    </w:rPr>
  </w:style>
  <w:style w:type="character" w:styleId="10">
    <w:name w:val="HTML Cite"/>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2017-07-01T01:19:04Z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