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</w:pPr>
      <w:r>
        <w:rPr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center"/>
      </w:pPr>
      <w:r>
        <w:rPr>
          <w:bdr w:val="none" w:color="auto" w:sz="0" w:space="0"/>
        </w:rPr>
        <w:t>永丰县委政法委选调工作人员拟选调人员名单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982"/>
        <w:gridCol w:w="872"/>
        <w:gridCol w:w="1204"/>
        <w:gridCol w:w="1179"/>
        <w:gridCol w:w="1254"/>
        <w:gridCol w:w="1179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366" w:hRule="atLeast"/>
        </w:trPr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选调岗位</w:t>
            </w:r>
          </w:p>
        </w:tc>
        <w:tc>
          <w:tcPr>
            <w:tcW w:w="9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11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面试成绩按60%计算</w:t>
            </w:r>
          </w:p>
        </w:tc>
        <w:tc>
          <w:tcPr>
            <w:tcW w:w="12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考核成绩</w:t>
            </w:r>
          </w:p>
        </w:tc>
        <w:tc>
          <w:tcPr>
            <w:tcW w:w="11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总成绩</w:t>
            </w:r>
          </w:p>
        </w:tc>
        <w:tc>
          <w:tcPr>
            <w:tcW w:w="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2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法学会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王雅清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79.8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47.88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37.51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85.39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2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矛调中心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邹文娟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52.2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37.84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</w:pPr>
            <w:r>
              <w:rPr>
                <w:bdr w:val="none" w:color="auto" w:sz="0" w:space="0"/>
              </w:rPr>
              <w:t>90.04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2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矛调中心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  刚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48.24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38.57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26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2017-01-10T08:55:50Z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