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ascii="仿宋_GB2312" w:hAnsi="Arial" w:eastAsia="仿宋_GB2312" w:cs="仿宋_GB2312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招聘岗位、人数、条件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781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70"/>
        <w:gridCol w:w="568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环境科学与工程、环境工程专业，具有全日制硕士研究生及以上学历、学位，第一学历为全日制统招本科，年龄在35周岁以下（1981年9月1日之后出生）。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植物学专业，具有全日制硕士研究生及以上学历、学位，第一学历为全日制统招本科，年龄在35周岁以下（1981年9月1日之后出生）。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工程管理专业，具有全日制硕士研究生及以上学历、学位或全日制本科学历具有副高及以上职称并有三年以上工作经历，年龄在35周岁以下（1981年9月1日之后出生）。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艺术设计专业，具有全日制硕士研究生及以上学历、学位，第一学历为全日制统招本科，年龄在35周岁以下（1981年9月1日之后出生）。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美术学专业，具有全日制硕士研究生及以上学历、学位，第一学历为全日制统招本科，年龄在35周岁以下（1981年9月1日之后出生）。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风险管理、管理科学与工程专业，具有全日制硕士研究生及以上学历、学位，第一学历为全日制统招本科，年龄在35周岁以下（1981年9月1日之后出生）。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国际商务、电子商务专业，具有全日制硕士研究生及以上学历、学位，第一学历为全日制统招本科，年龄在35周岁以下（1981年9月1日之后出生）。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信号与信息处理专业，具有全日制硕士研究生及以上学历、学位，第一学历为全日制统招本科，年龄在35周岁以下（1981年9月1日之后出生）。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信息系统、信息管理与信息系统专业，具有全日制硕士研究生及以上学历、学位，第一学历为全日制统招本科，年龄在35周岁以下（1981年9月1日之后出生）。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文艺学、汉语言文字学专业，具有全日制硕士研究生及以上学历、学位，第一学历为全日制统招本科，年龄在35周岁以下（1981年9月1日之后出生）。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英语语言文学专业，具有全日制硕士研究生及以上学历、学位，第一学历为全日制统招本科，年龄在35周岁以下（1981年9月1日之后出生）。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学科教学（英语）专业，具有全日制硕士研究生及以上学历、学位，第一学历为全日制统招本科，年龄在35周岁以下（1981年9月1日之后出生）。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学科教学（地理）专业，具有全日制硕士研究生及以上学历、学位，第一学历为全日制统招本科，年龄在35周岁以下（1980年9月1日之后出生）。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学科教学（语文）专业，具有全日制硕士研究生及以上学历、学位，第一学历为全日制统招本科，年龄在35周岁以下（1981年9月1日之后出生）。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思想政治教育专业，具有全日制硕士研究生及以上学历、学位，第一学历为全日制统招本科，年龄在35周岁以下（1981年9月1日之后出生）。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专业教师16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有机化学专业，具有全日制硕士研究生及以上学历、学位，第一学历为全日制统招本科，年龄在35周岁以下（1981年9月1日之后出生）。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对外韩国语教育、亚非语言文学（韩国语方向）专业，具有全日制硕士研究生及以上学历、学位，第一学历为全日制统招本科，年龄在35周岁以下（1981年9月1日之后出生）。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旅游管理专业，具有全日制硕士研究生及以上学历、学位，第一学历为全日制统招本科，能够胜任旅游、酒店、高铁等现代服务类专业教学，年龄在35周岁以下（1981年9月1日之后出生）。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学前教育学专业，具有全日制硕士研究生及以上学历、学位，第一学历为全日制统招本科，年龄在35周岁以下（1981年9月1日之后出生）。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市政工程专业，具有全日制硕士研究生及以上学历、学位，第一学历为全日制统招本科，年龄在35周岁以下（1981年9月1日之后出生）。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建筑与土木类专业，具有全日制硕士研究生及以上学历、学位，第一学历为全日制统招本科，年龄在35周岁以下（1981年9月1日之后出生）。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"http://souky.eol.cn/school_recommended.php?g&amp;code=080201" \t "http://kaoyan.eol.cn/html/ky/zyml/_blank" </w:instrTex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仿宋_GB2312" w:hAnsi="Arial" w:eastAsia="仿宋_GB2312" w:cs="仿宋_GB2312"/>
                <w:color w:val="000000"/>
                <w:sz w:val="24"/>
                <w:szCs w:val="24"/>
                <w:u w:val="none"/>
              </w:rPr>
              <w:t>机械制造及其自动化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图书馆学、情报学、档案学、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"http://souky.eol.cn/school_recommended.php?g&amp;code=083509" \t "http://hrss.jiangxi.gov.cn/_blank" </w:instrTex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仿宋_GB2312" w:hAnsi="Arial" w:eastAsia="仿宋_GB2312" w:cs="仿宋_GB2312"/>
                <w:color w:val="000000"/>
                <w:sz w:val="24"/>
                <w:szCs w:val="24"/>
                <w:u w:val="none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经济林专业，具有全日制硕士研究生及以上学历、学位，第一学历为全日制统招本科，年龄在35周岁以下（1981年9月1日之后出生）。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力学专业，具有全日制硕士研究生及以上学历、学位，第一学历为全日制统招本科，年龄在35周岁以下（1981年9月1日之后出生）。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市场营销专业，具有全日制硕士研究生及以上学历、学位，第一学历为全日制统招本科，年龄在35周岁以下（1981年9月1日之后出生）。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林业（森林经营方向），具有全日制硕士研究生及以上学历、学位，第一学历为全日制统招本科，年龄在35周岁以下（1981年9月1日之后出生）。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专业教师28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移动通信专业，具有全日制硕士研究生及以上学历、学位，第一学历为全日制统招本科，年龄在35周岁以下（1981年9月1日之后出生）。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备注：（1）国外学历学位须经教育部留学服务中心认证；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（2）报名人员须在2016年9月30日以前取得相应的学历、学位证书。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71D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2016-11-12T01:37:50Z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